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utlineLvl w:val="0"/>
        <w:rPr>
          <w:rFonts w:hint="eastAsia" w:ascii="黑体" w:hAnsi="黑体" w:eastAsia="黑体" w:cs="黑体"/>
          <w:color w:val="000000"/>
          <w:kern w:val="0"/>
          <w:sz w:val="32"/>
          <w:szCs w:val="32"/>
          <w:lang w:bidi="ar"/>
        </w:rPr>
      </w:pPr>
      <w:bookmarkStart w:id="0" w:name="_Toc143011292"/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bidi="ar"/>
        </w:rPr>
        <w:t>附件3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320" w:beforeLines="100" w:after="320" w:afterLines="100" w:line="60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bookmarkStart w:id="1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石楼县民用爆破器材事故响应启动条件</w:t>
      </w:r>
      <w:bookmarkEnd w:id="0"/>
    </w:p>
    <w:bookmarkEnd w:id="1"/>
    <w:tbl>
      <w:tblPr>
        <w:tblStyle w:val="4"/>
        <w:tblW w:w="4996" w:type="pct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491"/>
        <w:gridCol w:w="3491"/>
        <w:gridCol w:w="3494"/>
        <w:gridCol w:w="3501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  <w:jc w:val="center"/>
        </w:trPr>
        <w:tc>
          <w:tcPr>
            <w:tcW w:w="1249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ascii="Times New Roman" w:hAnsi="Times New Roman" w:eastAsia="黑体"/>
                <w:kern w:val="0"/>
                <w:sz w:val="28"/>
                <w:szCs w:val="28"/>
                <w:lang w:bidi="ar"/>
              </w:rPr>
              <w:t>一级响应</w:t>
            </w:r>
          </w:p>
        </w:tc>
        <w:tc>
          <w:tcPr>
            <w:tcW w:w="1249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ascii="Times New Roman" w:hAnsi="Times New Roman" w:eastAsia="黑体"/>
                <w:kern w:val="0"/>
                <w:sz w:val="28"/>
                <w:szCs w:val="28"/>
                <w:lang w:bidi="ar"/>
              </w:rPr>
              <w:t>二级响应</w:t>
            </w:r>
          </w:p>
        </w:tc>
        <w:tc>
          <w:tcPr>
            <w:tcW w:w="1250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ascii="Times New Roman" w:hAnsi="Times New Roman" w:eastAsia="黑体"/>
                <w:kern w:val="0"/>
                <w:sz w:val="28"/>
                <w:szCs w:val="28"/>
                <w:lang w:bidi="ar"/>
              </w:rPr>
              <w:t>三级响应</w:t>
            </w:r>
          </w:p>
        </w:tc>
        <w:tc>
          <w:tcPr>
            <w:tcW w:w="1250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ascii="Times New Roman" w:hAnsi="Times New Roman" w:eastAsia="黑体"/>
                <w:kern w:val="0"/>
                <w:sz w:val="28"/>
                <w:szCs w:val="28"/>
                <w:lang w:bidi="ar"/>
              </w:rPr>
              <w:t>四级响应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249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center"/>
              <w:rPr>
                <w:rFonts w:ascii="Times New Roman" w:hAnsi="Times New Roman" w:eastAsia="仿宋_GB2312"/>
                <w:b/>
                <w:bCs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/>
                <w:b/>
                <w:bCs/>
                <w:kern w:val="0"/>
                <w:sz w:val="28"/>
                <w:szCs w:val="28"/>
                <w:lang w:bidi="ar"/>
              </w:rPr>
              <w:t>启动条件：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center"/>
              <w:rPr>
                <w:rFonts w:ascii="Times New Roman" w:hAnsi="Times New Roman" w:eastAsia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  <w:lang w:bidi="ar"/>
              </w:rPr>
              <w:t>1.造成30人以上死亡、失联、被困或危及30人以上生命安全，或100人以上重伤（中毒）的生产安全事故；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center"/>
              <w:rPr>
                <w:rFonts w:ascii="Times New Roman" w:hAnsi="Times New Roman" w:eastAsia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  <w:lang w:bidi="ar"/>
              </w:rPr>
              <w:t>2.超出省政府应急处置能力的生产安全事故。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  <w:lang w:bidi="ar"/>
              </w:rPr>
              <w:t>符合上述条件之一时，应启动一级响应。</w:t>
            </w:r>
          </w:p>
        </w:tc>
        <w:tc>
          <w:tcPr>
            <w:tcW w:w="1249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center"/>
              <w:rPr>
                <w:rFonts w:ascii="Times New Roman" w:hAnsi="Times New Roman" w:eastAsia="仿宋_GB2312"/>
                <w:b/>
                <w:bCs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/>
                <w:b/>
                <w:bCs/>
                <w:kern w:val="0"/>
                <w:sz w:val="28"/>
                <w:szCs w:val="28"/>
                <w:lang w:bidi="ar"/>
              </w:rPr>
              <w:t>启动条件：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center"/>
              <w:rPr>
                <w:rFonts w:ascii="Times New Roman" w:hAnsi="Times New Roman" w:eastAsia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  <w:lang w:bidi="ar"/>
              </w:rPr>
              <w:t>1.造成10人以上30人以下死亡、失联、被困或危及10人以上30人以下生命安全，或50人以上100人以下重伤（中毒）的生产安全事故；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center"/>
              <w:rPr>
                <w:rFonts w:ascii="Times New Roman" w:hAnsi="Times New Roman" w:eastAsia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  <w:lang w:bidi="ar"/>
              </w:rPr>
              <w:t>2.超出市政府应急处置能力的生产安全事故。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  <w:lang w:bidi="ar"/>
              </w:rPr>
              <w:t>符合上述条件之一时，应启动二级响应。</w:t>
            </w:r>
          </w:p>
        </w:tc>
        <w:tc>
          <w:tcPr>
            <w:tcW w:w="1250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center"/>
              <w:rPr>
                <w:rFonts w:ascii="Times New Roman" w:hAnsi="Times New Roman" w:eastAsia="仿宋_GB2312"/>
                <w:b/>
                <w:bCs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/>
                <w:b/>
                <w:bCs/>
                <w:kern w:val="0"/>
                <w:sz w:val="28"/>
                <w:szCs w:val="28"/>
                <w:lang w:bidi="ar"/>
              </w:rPr>
              <w:t>启动条件：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center"/>
              <w:rPr>
                <w:rFonts w:ascii="Times New Roman" w:hAnsi="Times New Roman" w:eastAsia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  <w:lang w:bidi="ar"/>
              </w:rPr>
              <w:t>1.造成3人以上10人以下死亡、失联、被困或危及3人以上10人以下生命安全，或10人以上50人以下重伤（中毒）的生产安全事故；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center"/>
              <w:rPr>
                <w:rFonts w:ascii="Times New Roman" w:hAnsi="Times New Roman" w:eastAsia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  <w:lang w:bidi="ar"/>
              </w:rPr>
              <w:t>2.超出县政府应急处置能力的生产安全事故。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  <w:lang w:bidi="ar"/>
              </w:rPr>
              <w:t>符合上述条件之一时，应启动三级响应。</w:t>
            </w:r>
          </w:p>
        </w:tc>
        <w:tc>
          <w:tcPr>
            <w:tcW w:w="1250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center"/>
              <w:rPr>
                <w:rFonts w:ascii="Times New Roman" w:hAnsi="Times New Roman" w:eastAsia="仿宋_GB2312"/>
                <w:b/>
                <w:bCs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/>
                <w:b/>
                <w:bCs/>
                <w:kern w:val="0"/>
                <w:sz w:val="28"/>
                <w:szCs w:val="28"/>
                <w:lang w:bidi="ar"/>
              </w:rPr>
              <w:t>启动条件：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center"/>
              <w:rPr>
                <w:rFonts w:ascii="Times New Roman" w:hAnsi="Times New Roman" w:eastAsia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  <w:lang w:bidi="ar"/>
              </w:rPr>
              <w:t>1.造成1-3人死亡、失联、被困或危及1-3人生命安全，或10人以下重伤（中毒）的生产安全事故；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center"/>
              <w:rPr>
                <w:rFonts w:ascii="Times New Roman" w:hAnsi="Times New Roman" w:eastAsia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  <w:lang w:bidi="ar"/>
              </w:rPr>
              <w:t>2.县指挥部认为需要启动四级响应的情形。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  <w:lang w:bidi="ar"/>
              </w:rPr>
              <w:t>符合上述条件之一时，应启动四级响应。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000" w:type="pct"/>
            <w:gridSpan w:val="4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center"/>
              <w:rPr>
                <w:rFonts w:ascii="Times New Roman" w:hAnsi="Times New Roman" w:eastAsia="仿宋_GB2312"/>
                <w:bCs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备注：上述数量表述中，“以上”含本数，“以下”不含本数。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g3ZWU5YWQyOThlM2FhMWE4MzRmOTI0ZjE1NDBkNzcifQ=="/>
  </w:docVars>
  <w:rsids>
    <w:rsidRoot w:val="00000000"/>
    <w:rsid w:val="58294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spacing w:after="0" w:line="600" w:lineRule="exact"/>
      <w:ind w:firstLine="420" w:firstLineChars="200"/>
    </w:pPr>
    <w:rPr>
      <w:rFonts w:ascii="Calibri" w:hAnsi="Calibri" w:eastAsia="仿宋_GB2312"/>
      <w:sz w:val="32"/>
      <w:szCs w:val="32"/>
    </w:r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2023-12-06T03:30:12Z</dcterms:created>
  <dc:creator>Administrator</dc:creator>
  <cp:lastModifiedBy>文档存本地丢失不负责</cp:lastModifiedBy>
  <dcterms:modified xsi:type="dcterms:W3CDTF">2023-12-06T03:30:29Z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6C1E6C31EA4E4CB9BEB129FB29C01D12_13</vt:lpwstr>
  </property>
</Properties>
</file>