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Toc143011292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beforeLines="100" w:after="320" w:afterLines="10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石楼县民用爆破器材事故响应启动条件</w:t>
      </w:r>
      <w:bookmarkEnd w:id="0"/>
    </w:p>
    <w:bookmarkEnd w:id="1"/>
    <w:tbl>
      <w:tblPr>
        <w:tblStyle w:val="4"/>
        <w:tblW w:w="499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1"/>
        <w:gridCol w:w="3491"/>
        <w:gridCol w:w="3494"/>
        <w:gridCol w:w="35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一级响应</w:t>
            </w:r>
          </w:p>
        </w:tc>
        <w:tc>
          <w:tcPr>
            <w:tcW w:w="12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二级响应</w:t>
            </w:r>
          </w:p>
        </w:tc>
        <w:tc>
          <w:tcPr>
            <w:tcW w:w="1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三级响应</w:t>
            </w:r>
          </w:p>
        </w:tc>
        <w:tc>
          <w:tcPr>
            <w:tcW w:w="1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四级响应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  <w:t>启动条件：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1.造成30人以上死亡、失联、被困或危及30人以上生命安全，或100人以上重伤（中毒）的生产安全事故；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2.超出省政府应急处置能力的生产安全事故。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符合上述条件之一时，应启动一级响应。</w:t>
            </w:r>
          </w:p>
        </w:tc>
        <w:tc>
          <w:tcPr>
            <w:tcW w:w="12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  <w:t>启动条件：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1.造成10人以上30人以下死亡、失联、被困或危及10人以上30人以下生命安全，或50人以上100人以下重伤（中毒）的生产安全事故；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2.超出市政府应急处置能力的生产安全事故。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符合上述条件之一时，应启动二级响应。</w:t>
            </w:r>
          </w:p>
        </w:tc>
        <w:tc>
          <w:tcPr>
            <w:tcW w:w="1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  <w:t>启动条件：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1.造成3人以上10人以下死亡、失联、被困或危及3人以上10人以下生命安全，或10人以上50人以下重伤（中毒）的生产安全事故；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2.超出县政府应急处置能力的生产安全事故。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符合上述条件之一时，应启动三级响应。</w:t>
            </w:r>
          </w:p>
        </w:tc>
        <w:tc>
          <w:tcPr>
            <w:tcW w:w="1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bidi="ar"/>
              </w:rPr>
              <w:t>启动条件：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1.造成1-3人死亡、失联、被困或危及1-3人生命安全，或10人以下重伤（中毒）的生产安全事故；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2.县指挥部认为需要启动四级响应的情形。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符合上述条件之一时，应启动四级响应。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备注：上述数量表述中，“以上”含本数，“以下”不含本数。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582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00" w:lineRule="exact"/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2023-12-06T03:30:12Z</dcterms:created>
  <dc:creator>Administrator</dc:creator>
  <cp:lastModifiedBy>文档存本地丢失不负责</cp:lastModifiedBy>
  <dcterms:modified xsi:type="dcterms:W3CDTF">2023-12-06T03:30:29Z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6C1E6C31EA4E4CB9BEB129FB29C01D12_13</vt:lpwstr>
  </property>
</Properties>
</file>