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Toc12605"/>
      <w:bookmarkStart w:id="1" w:name="_Toc30649"/>
      <w:bookmarkStart w:id="2" w:name="_Toc141776495"/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bookmarkEnd w:id="0"/>
      <w:bookmarkEnd w:id="1"/>
    </w:p>
    <w:p>
      <w:pPr>
        <w:adjustRightInd w:val="0"/>
        <w:snapToGrid w:val="0"/>
        <w:spacing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干旱灾害分级及预警措施</w:t>
      </w:r>
      <w:bookmarkEnd w:id="2"/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120"/>
        <w:gridCol w:w="3120"/>
        <w:gridCol w:w="3120"/>
        <w:gridCol w:w="3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3" w:type="dxa"/>
            <w:vAlign w:val="center"/>
          </w:tcPr>
          <w:p>
            <w:pPr>
              <w:pStyle w:val="9"/>
              <w:spacing w:line="300" w:lineRule="exact"/>
              <w:ind w:left="80" w:right="69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28"/>
                <w:szCs w:val="28"/>
              </w:rPr>
              <w:t>灾害分级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spacing w:before="136"/>
              <w:ind w:left="439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轻度干旱（蓝色）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spacing w:before="136"/>
              <w:ind w:left="439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中度干旱（黄色）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spacing w:before="136"/>
              <w:ind w:left="439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严重干旱（橙色）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spacing w:before="136"/>
              <w:ind w:left="439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特大干旱（红色）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723" w:type="dxa"/>
            <w:vAlign w:val="center"/>
          </w:tcPr>
          <w:p>
            <w:pPr>
              <w:pStyle w:val="9"/>
              <w:ind w:right="208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分级标准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adjustRightInd w:val="0"/>
              <w:snapToGrid w:val="0"/>
              <w:ind w:right="159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当全县作物受旱面积占播种面积的比例达到20%-35%，或因旱造成临时性饮水困难人口达到5-10万人，为轻度干旱。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adjustRightInd w:val="0"/>
              <w:snapToGrid w:val="0"/>
              <w:ind w:right="117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当全县作物受旱面积占播种面积的比例达到35%-50%，或因旱造成临时性饮水困难人口达到10-15万人，为中度干旱。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adjustRightInd w:val="0"/>
              <w:snapToGrid w:val="0"/>
              <w:ind w:right="117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当全县作物受旱面积占播种面积的比例达到50%-65%，或因旱造成临时性饮水困难人口达到15-20万人，为严重干旱。</w:t>
            </w:r>
          </w:p>
        </w:tc>
        <w:tc>
          <w:tcPr>
            <w:tcW w:w="3120" w:type="dxa"/>
            <w:vAlign w:val="center"/>
          </w:tcPr>
          <w:p>
            <w:pPr>
              <w:pStyle w:val="9"/>
              <w:adjustRightInd w:val="0"/>
              <w:snapToGrid w:val="0"/>
              <w:ind w:right="159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当全县作物受旱面积占播种面积的比例达到65%以上，或因旱造成临时性饮水困难人口达到 20万人以上，为特大干旱。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723" w:type="dxa"/>
            <w:vAlign w:val="center"/>
          </w:tcPr>
          <w:p>
            <w:pPr>
              <w:pStyle w:val="9"/>
              <w:ind w:left="221" w:right="208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预警措施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9"/>
              <w:adjustRightInd w:val="0"/>
              <w:snapToGrid w:val="0"/>
              <w:ind w:right="159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预警地区要加强值班，密切关注旱情态势和群众用水需求；对抗旱责任落实、抗旱物资、供水管网和抗旱设施进行检查和维护；调度行政区域内水库、闸坝等所蓄的水量；做好启用应急备用水源或开发新的应急水源准备；设置临时抽水泵站，开挖输水渠道，临时在河流沟渠内截水；组织向人畜饮水困难地区送水。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9"/>
              <w:adjustRightInd w:val="0"/>
              <w:snapToGrid w:val="0"/>
              <w:ind w:right="159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在落实轻度干旱、中度干旱措施基础上，压减供水指标；限制或者暂停高耗水工业、服务业等行业用水；限制或者暂停排放工业污水；缩小农业供水范围或者减少农业供水量；限时、限量供应城镇居民生活用水。</w:t>
            </w:r>
          </w:p>
        </w:tc>
      </w:tr>
    </w:tbl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362537B7"/>
    <w:rsid w:val="402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600" w:lineRule="exact"/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正文首行缩进 21"/>
    <w:basedOn w:val="1"/>
    <w:next w:val="5"/>
    <w:qFormat/>
    <w:uiPriority w:val="0"/>
    <w:pPr>
      <w:widowControl/>
      <w:ind w:left="200" w:leftChars="200" w:firstLine="200" w:firstLineChars="200"/>
      <w:jc w:val="left"/>
    </w:pPr>
    <w:rPr>
      <w:rFonts w:eastAsia="仿宋_GB2312" w:cs="Calibri"/>
      <w:kern w:val="0"/>
      <w:sz w:val="24"/>
    </w:r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1879</Words>
  <Characters>1879</Characters>
  <Lines>0</Lines>
  <Paragraphs>0</Paragraphs>
  <TotalTime>0</TotalTime>
  <ScaleCrop>false</ScaleCrop>
  <LinksUpToDate>false</LinksUpToDate>
  <CharactersWithSpaces>1881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2023-09-08T00:56:00Z</dcterms:created>
  <dc:creator>Administrator</dc:creator>
  <cp:lastModifiedBy>超越自我</cp:lastModifiedBy>
  <dcterms:modified xsi:type="dcterms:W3CDTF">2023-09-08T00:58:19Z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8A37B59FD7644325B27A3C5D6B80EA9D_12</vt:lpwstr>
  </property>
</Properties>
</file>