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outlineLvl w:val="1"/>
        <w:rPr>
          <w:rFonts w:hint="eastAsia" w:ascii="黑体" w:hAnsi="黑体" w:eastAsia="黑体" w:cs="黑体"/>
          <w:color w:val="000000"/>
          <w:sz w:val="32"/>
          <w:szCs w:val="32"/>
        </w:rPr>
      </w:pPr>
      <w:bookmarkStart w:id="0" w:name="_Toc31723"/>
      <w:bookmarkStart w:id="1" w:name="_Toc29379"/>
      <w:bookmarkStart w:id="2" w:name="_Toc141776494"/>
      <w:r>
        <w:rPr>
          <w:rFonts w:hint="eastAsia" w:ascii="黑体" w:hAnsi="黑体" w:eastAsia="黑体" w:cs="黑体"/>
          <w:color w:val="000000"/>
          <w:sz w:val="32"/>
          <w:szCs w:val="32"/>
        </w:rPr>
        <w:t>附件3</w:t>
      </w:r>
      <w:bookmarkEnd w:id="0"/>
      <w:bookmarkEnd w:id="1"/>
    </w:p>
    <w:p>
      <w:pPr>
        <w:adjustRightInd w:val="0"/>
        <w:snapToGrid w:val="0"/>
        <w:spacing w:line="600" w:lineRule="exact"/>
        <w:jc w:val="center"/>
        <w:outlineLvl w:val="1"/>
        <w:rPr>
          <w:rFonts w:hint="eastAsia" w:ascii="方正小标宋简体" w:hAnsi="方正小标宋简体" w:eastAsia="方正小标宋简体" w:cs="方正小标宋简体"/>
          <w:bCs/>
          <w:sz w:val="44"/>
          <w:szCs w:val="44"/>
        </w:rPr>
      </w:pPr>
      <w:bookmarkStart w:id="3" w:name="_GoBack"/>
      <w:r>
        <w:rPr>
          <w:rFonts w:hint="eastAsia" w:ascii="方正小标宋简体" w:hAnsi="方正小标宋简体" w:eastAsia="方正小标宋简体" w:cs="方正小标宋简体"/>
          <w:bCs/>
          <w:sz w:val="44"/>
          <w:szCs w:val="44"/>
        </w:rPr>
        <w:t>县防汛抗旱指挥部及其办公室、成员单位职责</w:t>
      </w:r>
      <w:bookmarkEnd w:id="3"/>
      <w:bookmarkEnd w:id="2"/>
    </w:p>
    <w:p>
      <w:pPr>
        <w:pStyle w:val="8"/>
      </w:pPr>
    </w:p>
    <w:tbl>
      <w:tblPr>
        <w:tblStyle w:val="6"/>
        <w:tblW w:w="5038"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08"/>
        <w:gridCol w:w="2736"/>
        <w:gridCol w:w="10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59" w:type="pct"/>
            <w:gridSpan w:val="2"/>
            <w:vAlign w:val="center"/>
          </w:tcPr>
          <w:p>
            <w:pPr>
              <w:pStyle w:val="9"/>
              <w:adjustRightInd w:val="0"/>
              <w:snapToGrid w:val="0"/>
              <w:ind w:left="935"/>
              <w:jc w:val="center"/>
              <w:rPr>
                <w:rFonts w:ascii="Times New Roman" w:hAnsi="Times New Roman" w:eastAsia="黑体" w:cs="Times New Roman"/>
                <w:sz w:val="24"/>
                <w:szCs w:val="24"/>
              </w:rPr>
            </w:pPr>
            <w:r>
              <w:rPr>
                <w:rFonts w:ascii="Times New Roman" w:hAnsi="Times New Roman" w:eastAsia="黑体" w:cs="Times New Roman"/>
                <w:sz w:val="24"/>
                <w:szCs w:val="24"/>
              </w:rPr>
              <w:t>指挥机构</w:t>
            </w:r>
          </w:p>
        </w:tc>
        <w:tc>
          <w:tcPr>
            <w:tcW w:w="3741" w:type="pct"/>
            <w:vAlign w:val="center"/>
          </w:tcPr>
          <w:p>
            <w:pPr>
              <w:pStyle w:val="9"/>
              <w:adjustRightInd w:val="0"/>
              <w:snapToGrid w:val="0"/>
              <w:ind w:firstLine="664" w:firstLineChars="200"/>
              <w:jc w:val="center"/>
              <w:rPr>
                <w:rFonts w:ascii="Times New Roman" w:hAnsi="Times New Roman" w:eastAsia="黑体" w:cs="Times New Roman"/>
                <w:sz w:val="24"/>
                <w:szCs w:val="24"/>
              </w:rPr>
            </w:pPr>
            <w:r>
              <w:rPr>
                <w:rFonts w:ascii="Times New Roman" w:hAnsi="Times New Roman" w:eastAsia="黑体" w:cs="Times New Roman"/>
                <w:spacing w:val="46"/>
                <w:sz w:val="24"/>
                <w:szCs w:val="24"/>
              </w:rPr>
              <w:t>职  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7" w:type="pct"/>
            <w:vMerge w:val="restart"/>
            <w:vAlign w:val="center"/>
          </w:tcPr>
          <w:p>
            <w:pPr>
              <w:pStyle w:val="9"/>
              <w:adjustRightInd w:val="0"/>
              <w:snapToGrid w:val="0"/>
              <w:jc w:val="center"/>
              <w:rPr>
                <w:rFonts w:ascii="Times New Roman" w:hAnsi="Times New Roman" w:eastAsia="仿宋" w:cs="Times New Roman"/>
                <w:sz w:val="24"/>
                <w:szCs w:val="24"/>
              </w:rPr>
            </w:pPr>
            <w:r>
              <w:rPr>
                <w:rFonts w:ascii="Times New Roman" w:hAnsi="Times New Roman" w:eastAsia="仿宋" w:cs="Times New Roman"/>
                <w:sz w:val="24"/>
                <w:szCs w:val="24"/>
              </w:rPr>
              <w:t>指</w:t>
            </w:r>
          </w:p>
          <w:p>
            <w:pPr>
              <w:pStyle w:val="9"/>
              <w:adjustRightInd w:val="0"/>
              <w:snapToGrid w:val="0"/>
              <w:jc w:val="center"/>
              <w:rPr>
                <w:rFonts w:ascii="Times New Roman" w:hAnsi="Times New Roman" w:eastAsia="仿宋" w:cs="Times New Roman"/>
                <w:sz w:val="24"/>
                <w:szCs w:val="24"/>
              </w:rPr>
            </w:pPr>
            <w:r>
              <w:rPr>
                <w:rFonts w:ascii="Times New Roman" w:hAnsi="Times New Roman" w:eastAsia="仿宋" w:cs="Times New Roman"/>
                <w:sz w:val="24"/>
                <w:szCs w:val="24"/>
              </w:rPr>
              <w:t>挥</w:t>
            </w:r>
          </w:p>
          <w:p>
            <w:pPr>
              <w:pStyle w:val="9"/>
              <w:adjustRightInd w:val="0"/>
              <w:snapToGrid w:val="0"/>
              <w:jc w:val="center"/>
              <w:rPr>
                <w:rFonts w:ascii="Times New Roman" w:hAnsi="Times New Roman" w:eastAsia="仿宋" w:cs="Times New Roman"/>
                <w:sz w:val="24"/>
                <w:szCs w:val="24"/>
              </w:rPr>
            </w:pPr>
            <w:r>
              <w:rPr>
                <w:rFonts w:ascii="Times New Roman" w:hAnsi="Times New Roman" w:eastAsia="仿宋" w:cs="Times New Roman"/>
                <w:sz w:val="24"/>
                <w:szCs w:val="24"/>
              </w:rPr>
              <w:t>长</w:t>
            </w:r>
          </w:p>
        </w:tc>
        <w:tc>
          <w:tcPr>
            <w:tcW w:w="972" w:type="pct"/>
            <w:vAlign w:val="center"/>
          </w:tcPr>
          <w:p>
            <w:pPr>
              <w:pStyle w:val="9"/>
              <w:adjustRightInd w:val="0"/>
              <w:snapToGrid w:val="0"/>
              <w:ind w:left="7"/>
              <w:jc w:val="center"/>
              <w:rPr>
                <w:rFonts w:ascii="Times New Roman" w:hAnsi="Times New Roman" w:eastAsia="仿宋" w:cs="Times New Roman"/>
                <w:sz w:val="24"/>
                <w:szCs w:val="24"/>
              </w:rPr>
            </w:pPr>
            <w:r>
              <w:rPr>
                <w:rFonts w:ascii="Times New Roman" w:hAnsi="Times New Roman" w:eastAsia="仿宋" w:cs="Times New Roman"/>
                <w:sz w:val="24"/>
                <w:szCs w:val="24"/>
              </w:rPr>
              <w:t>分管应急管理工作的副县长</w:t>
            </w:r>
          </w:p>
        </w:tc>
        <w:tc>
          <w:tcPr>
            <w:tcW w:w="3741" w:type="pct"/>
            <w:vMerge w:val="restart"/>
            <w:vAlign w:val="center"/>
          </w:tcPr>
          <w:p>
            <w:pPr>
              <w:pStyle w:val="9"/>
              <w:adjustRightInd w:val="0"/>
              <w:snapToGrid w:val="0"/>
              <w:ind w:firstLine="478" w:firstLineChars="200"/>
              <w:rPr>
                <w:rFonts w:ascii="Times New Roman" w:hAnsi="Times New Roman" w:eastAsia="仿宋" w:cs="Times New Roman"/>
                <w:sz w:val="24"/>
                <w:szCs w:val="24"/>
              </w:rPr>
            </w:pPr>
            <w:r>
              <w:rPr>
                <w:rFonts w:ascii="Times New Roman" w:hAnsi="Times New Roman" w:eastAsia="仿宋" w:cs="Times New Roman"/>
                <w:b/>
                <w:bCs/>
                <w:spacing w:val="-1"/>
                <w:sz w:val="24"/>
                <w:szCs w:val="24"/>
              </w:rPr>
              <w:t>县防指主要职责</w:t>
            </w:r>
            <w:r>
              <w:rPr>
                <w:rFonts w:ascii="Times New Roman" w:hAnsi="Times New Roman" w:eastAsia="仿宋" w:cs="Times New Roman"/>
                <w:spacing w:val="-1"/>
                <w:sz w:val="24"/>
                <w:szCs w:val="24"/>
              </w:rPr>
              <w:t>：贯彻落实党中央、国务院及省委、省政府、市委、市政府、县委、县政府关于水旱灾害防范应对工作的决策部署，统筹协调全县洪水防御、旱灾抗御工作，制定防汛抗旱总体规划、重要措施，指导协调水旱灾害风险防控、监测预警、调查评估和善后工作，组织指挥重大水旱灾害应急处置工作，决定重要河流洪水应急调度方案，落实县委、县政府及县应急救援总指挥部交办的防汛抗旱应急处置的其他</w:t>
            </w:r>
            <w:r>
              <w:rPr>
                <w:rFonts w:ascii="Times New Roman" w:hAnsi="Times New Roman" w:eastAsia="仿宋" w:cs="Times New Roman"/>
                <w:sz w:val="24"/>
                <w:szCs w:val="24"/>
              </w:rPr>
              <w:t>重大事项。</w:t>
            </w:r>
          </w:p>
          <w:p>
            <w:pPr>
              <w:pStyle w:val="9"/>
              <w:adjustRightInd w:val="0"/>
              <w:snapToGrid w:val="0"/>
              <w:ind w:firstLine="478" w:firstLineChars="200"/>
              <w:rPr>
                <w:rFonts w:ascii="Times New Roman" w:hAnsi="Times New Roman" w:eastAsia="仿宋" w:cs="Times New Roman"/>
                <w:sz w:val="24"/>
                <w:szCs w:val="24"/>
              </w:rPr>
            </w:pPr>
            <w:r>
              <w:rPr>
                <w:rFonts w:ascii="Times New Roman" w:hAnsi="Times New Roman" w:eastAsia="仿宋" w:cs="Times New Roman"/>
                <w:b/>
                <w:bCs/>
                <w:spacing w:val="-1"/>
                <w:sz w:val="24"/>
                <w:szCs w:val="24"/>
              </w:rPr>
              <w:t>县防办主要职责</w:t>
            </w:r>
            <w:r>
              <w:rPr>
                <w:rFonts w:ascii="Times New Roman" w:hAnsi="Times New Roman" w:eastAsia="仿宋" w:cs="Times New Roman"/>
                <w:spacing w:val="-1"/>
                <w:sz w:val="24"/>
                <w:szCs w:val="24"/>
              </w:rPr>
              <w:t>：承担防汛抗旱指挥部日常工作，制定、修订防汛抗旱专项应急预案，开展水旱灾害风险防控和监测预警工作，组织桌面推演、实兵演练等防汛抗旱专项演练，协调各方面力量参加防汛抗旱救援行动，协助县委、县政府指定的负责同志组织防汛抗旱应急处置工作，组织开展调查评估和协调推进善后处置工作，报告和发布防汛抗旱信息，指导县防汛抗旱应对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7" w:type="pct"/>
            <w:vMerge w:val="continue"/>
            <w:vAlign w:val="center"/>
          </w:tcPr>
          <w:p>
            <w:pPr>
              <w:adjustRightInd w:val="0"/>
              <w:snapToGrid w:val="0"/>
              <w:jc w:val="center"/>
              <w:rPr>
                <w:rFonts w:ascii="Times New Roman" w:hAnsi="Times New Roman" w:eastAsia="仿宋"/>
                <w:sz w:val="24"/>
                <w:szCs w:val="24"/>
              </w:rPr>
            </w:pPr>
          </w:p>
        </w:tc>
        <w:tc>
          <w:tcPr>
            <w:tcW w:w="972" w:type="pct"/>
            <w:vAlign w:val="center"/>
          </w:tcPr>
          <w:p>
            <w:pPr>
              <w:pStyle w:val="9"/>
              <w:adjustRightInd w:val="0"/>
              <w:snapToGrid w:val="0"/>
              <w:ind w:left="7"/>
              <w:jc w:val="center"/>
              <w:rPr>
                <w:rFonts w:ascii="Times New Roman" w:hAnsi="Times New Roman" w:eastAsia="仿宋" w:cs="Times New Roman"/>
                <w:sz w:val="24"/>
                <w:szCs w:val="24"/>
              </w:rPr>
            </w:pPr>
            <w:r>
              <w:rPr>
                <w:rFonts w:ascii="Times New Roman" w:hAnsi="Times New Roman" w:eastAsia="仿宋" w:cs="Times New Roman"/>
                <w:sz w:val="24"/>
                <w:szCs w:val="24"/>
              </w:rPr>
              <w:t>分管水利工作的副县长</w:t>
            </w:r>
          </w:p>
        </w:tc>
        <w:tc>
          <w:tcPr>
            <w:tcW w:w="3741" w:type="pct"/>
            <w:vMerge w:val="continue"/>
          </w:tcPr>
          <w:p>
            <w:pPr>
              <w:adjustRightInd w:val="0"/>
              <w:snapToGrid w:val="0"/>
              <w:ind w:firstLine="480" w:firstLineChars="200"/>
              <w:rPr>
                <w:rFonts w:ascii="Times New Roman" w:hAnsi="Times New Roman"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7" w:type="pct"/>
            <w:vMerge w:val="restart"/>
            <w:vAlign w:val="center"/>
          </w:tcPr>
          <w:p>
            <w:pPr>
              <w:pStyle w:val="9"/>
              <w:adjustRightInd w:val="0"/>
              <w:snapToGrid w:val="0"/>
              <w:ind w:left="253" w:right="239"/>
              <w:jc w:val="center"/>
              <w:rPr>
                <w:rFonts w:ascii="Times New Roman" w:hAnsi="Times New Roman" w:eastAsia="仿宋" w:cs="Times New Roman"/>
                <w:sz w:val="24"/>
                <w:szCs w:val="24"/>
              </w:rPr>
            </w:pPr>
            <w:r>
              <w:rPr>
                <w:rFonts w:ascii="Times New Roman" w:hAnsi="Times New Roman" w:eastAsia="仿宋" w:cs="Times New Roman"/>
                <w:sz w:val="24"/>
                <w:szCs w:val="24"/>
              </w:rPr>
              <w:t>副指挥长</w:t>
            </w:r>
          </w:p>
        </w:tc>
        <w:tc>
          <w:tcPr>
            <w:tcW w:w="972" w:type="pct"/>
            <w:vAlign w:val="center"/>
          </w:tcPr>
          <w:p>
            <w:pPr>
              <w:pStyle w:val="9"/>
              <w:adjustRightInd w:val="0"/>
              <w:snapToGrid w:val="0"/>
              <w:ind w:left="7"/>
              <w:jc w:val="center"/>
              <w:rPr>
                <w:rFonts w:ascii="Times New Roman" w:hAnsi="Times New Roman" w:eastAsia="仿宋" w:cs="Times New Roman"/>
                <w:sz w:val="24"/>
                <w:szCs w:val="24"/>
              </w:rPr>
            </w:pPr>
            <w:r>
              <w:rPr>
                <w:rFonts w:ascii="Times New Roman" w:hAnsi="Times New Roman" w:eastAsia="仿宋" w:cs="Times New Roman"/>
                <w:sz w:val="24"/>
                <w:szCs w:val="24"/>
              </w:rPr>
              <w:t>县政府办主任</w:t>
            </w:r>
          </w:p>
        </w:tc>
        <w:tc>
          <w:tcPr>
            <w:tcW w:w="3741" w:type="pct"/>
            <w:vMerge w:val="continue"/>
          </w:tcPr>
          <w:p>
            <w:pPr>
              <w:adjustRightInd w:val="0"/>
              <w:snapToGrid w:val="0"/>
              <w:ind w:firstLine="480" w:firstLineChars="200"/>
              <w:rPr>
                <w:rFonts w:ascii="Times New Roman" w:hAnsi="Times New Roman"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7" w:type="pct"/>
            <w:vMerge w:val="continue"/>
            <w:vAlign w:val="center"/>
          </w:tcPr>
          <w:p>
            <w:pPr>
              <w:adjustRightInd w:val="0"/>
              <w:snapToGrid w:val="0"/>
              <w:jc w:val="center"/>
              <w:rPr>
                <w:rFonts w:ascii="Times New Roman" w:hAnsi="Times New Roman" w:eastAsia="仿宋"/>
                <w:sz w:val="24"/>
                <w:szCs w:val="24"/>
              </w:rPr>
            </w:pPr>
          </w:p>
        </w:tc>
        <w:tc>
          <w:tcPr>
            <w:tcW w:w="972" w:type="pct"/>
            <w:vAlign w:val="center"/>
          </w:tcPr>
          <w:p>
            <w:pPr>
              <w:pStyle w:val="9"/>
              <w:adjustRightInd w:val="0"/>
              <w:snapToGrid w:val="0"/>
              <w:ind w:left="7"/>
              <w:jc w:val="center"/>
              <w:rPr>
                <w:rFonts w:ascii="Times New Roman" w:hAnsi="Times New Roman" w:eastAsia="仿宋" w:cs="Times New Roman"/>
                <w:sz w:val="24"/>
                <w:szCs w:val="24"/>
              </w:rPr>
            </w:pPr>
            <w:r>
              <w:rPr>
                <w:rFonts w:ascii="Times New Roman" w:hAnsi="Times New Roman" w:eastAsia="仿宋" w:cs="Times New Roman"/>
                <w:sz w:val="24"/>
                <w:szCs w:val="24"/>
              </w:rPr>
              <w:t>县应急管理局局长</w:t>
            </w:r>
          </w:p>
        </w:tc>
        <w:tc>
          <w:tcPr>
            <w:tcW w:w="3741" w:type="pct"/>
            <w:vMerge w:val="continue"/>
          </w:tcPr>
          <w:p>
            <w:pPr>
              <w:adjustRightInd w:val="0"/>
              <w:snapToGrid w:val="0"/>
              <w:ind w:firstLine="480" w:firstLineChars="200"/>
              <w:rPr>
                <w:rFonts w:ascii="Times New Roman" w:hAnsi="Times New Roman"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7" w:type="pct"/>
            <w:vMerge w:val="continue"/>
            <w:vAlign w:val="center"/>
          </w:tcPr>
          <w:p>
            <w:pPr>
              <w:adjustRightInd w:val="0"/>
              <w:snapToGrid w:val="0"/>
              <w:jc w:val="center"/>
              <w:rPr>
                <w:rFonts w:ascii="Times New Roman" w:hAnsi="Times New Roman" w:eastAsia="仿宋"/>
                <w:sz w:val="24"/>
                <w:szCs w:val="24"/>
              </w:rPr>
            </w:pPr>
          </w:p>
        </w:tc>
        <w:tc>
          <w:tcPr>
            <w:tcW w:w="972" w:type="pct"/>
            <w:vAlign w:val="center"/>
          </w:tcPr>
          <w:p>
            <w:pPr>
              <w:pStyle w:val="9"/>
              <w:adjustRightInd w:val="0"/>
              <w:snapToGrid w:val="0"/>
              <w:ind w:left="7"/>
              <w:jc w:val="center"/>
              <w:rPr>
                <w:rFonts w:ascii="Times New Roman" w:hAnsi="Times New Roman" w:eastAsia="仿宋" w:cs="Times New Roman"/>
                <w:sz w:val="24"/>
                <w:szCs w:val="24"/>
              </w:rPr>
            </w:pPr>
            <w:r>
              <w:rPr>
                <w:rFonts w:ascii="Times New Roman" w:hAnsi="Times New Roman" w:eastAsia="仿宋" w:cs="Times New Roman"/>
                <w:sz w:val="24"/>
                <w:szCs w:val="24"/>
              </w:rPr>
              <w:t>县农业农村和水利局局长</w:t>
            </w:r>
          </w:p>
        </w:tc>
        <w:tc>
          <w:tcPr>
            <w:tcW w:w="3741" w:type="pct"/>
            <w:vMerge w:val="continue"/>
          </w:tcPr>
          <w:p>
            <w:pPr>
              <w:adjustRightInd w:val="0"/>
              <w:snapToGrid w:val="0"/>
              <w:ind w:firstLine="480" w:firstLineChars="200"/>
              <w:rPr>
                <w:rFonts w:ascii="Times New Roman" w:hAnsi="Times New Roman"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7" w:type="pct"/>
            <w:vMerge w:val="continue"/>
            <w:vAlign w:val="center"/>
          </w:tcPr>
          <w:p>
            <w:pPr>
              <w:adjustRightInd w:val="0"/>
              <w:snapToGrid w:val="0"/>
              <w:jc w:val="center"/>
              <w:rPr>
                <w:rFonts w:ascii="Times New Roman" w:hAnsi="Times New Roman" w:eastAsia="仿宋"/>
                <w:sz w:val="24"/>
                <w:szCs w:val="24"/>
              </w:rPr>
            </w:pPr>
          </w:p>
        </w:tc>
        <w:tc>
          <w:tcPr>
            <w:tcW w:w="972" w:type="pct"/>
            <w:vAlign w:val="center"/>
          </w:tcPr>
          <w:p>
            <w:pPr>
              <w:pStyle w:val="9"/>
              <w:adjustRightInd w:val="0"/>
              <w:snapToGrid w:val="0"/>
              <w:ind w:left="7"/>
              <w:jc w:val="center"/>
              <w:rPr>
                <w:rFonts w:ascii="Times New Roman" w:hAnsi="Times New Roman" w:eastAsia="仿宋" w:cs="Times New Roman"/>
                <w:sz w:val="24"/>
                <w:szCs w:val="24"/>
              </w:rPr>
            </w:pPr>
            <w:r>
              <w:rPr>
                <w:rFonts w:ascii="Times New Roman" w:hAnsi="Times New Roman" w:eastAsia="仿宋" w:cs="Times New Roman"/>
                <w:sz w:val="24"/>
                <w:szCs w:val="24"/>
              </w:rPr>
              <w:t>县气象局局长</w:t>
            </w:r>
          </w:p>
        </w:tc>
        <w:tc>
          <w:tcPr>
            <w:tcW w:w="3741" w:type="pct"/>
            <w:vMerge w:val="continue"/>
          </w:tcPr>
          <w:p>
            <w:pPr>
              <w:adjustRightInd w:val="0"/>
              <w:snapToGrid w:val="0"/>
              <w:ind w:firstLine="480" w:firstLineChars="200"/>
              <w:rPr>
                <w:rFonts w:ascii="Times New Roman" w:hAnsi="Times New Roman"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7" w:type="pct"/>
            <w:vMerge w:val="continue"/>
            <w:vAlign w:val="center"/>
          </w:tcPr>
          <w:p>
            <w:pPr>
              <w:adjustRightInd w:val="0"/>
              <w:snapToGrid w:val="0"/>
              <w:jc w:val="center"/>
              <w:rPr>
                <w:rFonts w:ascii="Times New Roman" w:hAnsi="Times New Roman" w:eastAsia="仿宋"/>
                <w:sz w:val="24"/>
                <w:szCs w:val="24"/>
              </w:rPr>
            </w:pPr>
          </w:p>
        </w:tc>
        <w:tc>
          <w:tcPr>
            <w:tcW w:w="972" w:type="pct"/>
            <w:vAlign w:val="center"/>
          </w:tcPr>
          <w:p>
            <w:pPr>
              <w:pStyle w:val="9"/>
              <w:adjustRightInd w:val="0"/>
              <w:snapToGrid w:val="0"/>
              <w:ind w:right="252"/>
              <w:jc w:val="center"/>
              <w:rPr>
                <w:rFonts w:ascii="Times New Roman" w:hAnsi="Times New Roman" w:eastAsia="仿宋" w:cs="Times New Roman"/>
                <w:sz w:val="24"/>
                <w:szCs w:val="24"/>
              </w:rPr>
            </w:pPr>
            <w:r>
              <w:rPr>
                <w:rFonts w:ascii="Times New Roman" w:hAnsi="Times New Roman" w:eastAsia="仿宋" w:cs="Times New Roman"/>
                <w:sz w:val="24"/>
                <w:szCs w:val="24"/>
              </w:rPr>
              <w:t>县人武部部长</w:t>
            </w:r>
          </w:p>
        </w:tc>
        <w:tc>
          <w:tcPr>
            <w:tcW w:w="3741" w:type="pct"/>
            <w:vMerge w:val="continue"/>
          </w:tcPr>
          <w:p>
            <w:pPr>
              <w:adjustRightInd w:val="0"/>
              <w:snapToGrid w:val="0"/>
              <w:ind w:firstLine="480" w:firstLineChars="200"/>
              <w:rPr>
                <w:rFonts w:ascii="Times New Roman" w:hAnsi="Times New Roman"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7" w:type="pct"/>
            <w:vMerge w:val="continue"/>
            <w:vAlign w:val="center"/>
          </w:tcPr>
          <w:p>
            <w:pPr>
              <w:adjustRightInd w:val="0"/>
              <w:snapToGrid w:val="0"/>
              <w:jc w:val="center"/>
              <w:rPr>
                <w:rFonts w:ascii="Times New Roman" w:hAnsi="Times New Roman" w:eastAsia="仿宋"/>
                <w:sz w:val="24"/>
                <w:szCs w:val="24"/>
              </w:rPr>
            </w:pPr>
          </w:p>
        </w:tc>
        <w:tc>
          <w:tcPr>
            <w:tcW w:w="972" w:type="pct"/>
            <w:vAlign w:val="center"/>
          </w:tcPr>
          <w:p>
            <w:pPr>
              <w:pStyle w:val="9"/>
              <w:adjustRightInd w:val="0"/>
              <w:snapToGrid w:val="0"/>
              <w:ind w:right="252"/>
              <w:jc w:val="center"/>
              <w:rPr>
                <w:rFonts w:ascii="Times New Roman" w:hAnsi="Times New Roman" w:eastAsia="仿宋" w:cs="Times New Roman"/>
                <w:sz w:val="24"/>
                <w:szCs w:val="24"/>
              </w:rPr>
            </w:pPr>
            <w:r>
              <w:rPr>
                <w:rFonts w:ascii="Times New Roman" w:hAnsi="Times New Roman" w:eastAsia="仿宋" w:cs="Times New Roman"/>
                <w:spacing w:val="-1"/>
                <w:sz w:val="24"/>
                <w:szCs w:val="24"/>
              </w:rPr>
              <w:t>武警石楼中队队长</w:t>
            </w:r>
          </w:p>
        </w:tc>
        <w:tc>
          <w:tcPr>
            <w:tcW w:w="3741" w:type="pct"/>
            <w:vMerge w:val="continue"/>
          </w:tcPr>
          <w:p>
            <w:pPr>
              <w:adjustRightInd w:val="0"/>
              <w:snapToGrid w:val="0"/>
              <w:ind w:firstLine="480" w:firstLineChars="200"/>
              <w:rPr>
                <w:rFonts w:ascii="Times New Roman" w:hAnsi="Times New Roman"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7" w:type="pct"/>
            <w:vMerge w:val="continue"/>
            <w:vAlign w:val="center"/>
          </w:tcPr>
          <w:p>
            <w:pPr>
              <w:adjustRightInd w:val="0"/>
              <w:snapToGrid w:val="0"/>
              <w:jc w:val="center"/>
              <w:rPr>
                <w:rFonts w:ascii="Times New Roman" w:hAnsi="Times New Roman" w:eastAsia="仿宋"/>
                <w:sz w:val="24"/>
                <w:szCs w:val="24"/>
              </w:rPr>
            </w:pPr>
          </w:p>
        </w:tc>
        <w:tc>
          <w:tcPr>
            <w:tcW w:w="972" w:type="pct"/>
            <w:vAlign w:val="center"/>
          </w:tcPr>
          <w:p>
            <w:pPr>
              <w:pStyle w:val="9"/>
              <w:adjustRightInd w:val="0"/>
              <w:snapToGrid w:val="0"/>
              <w:ind w:left="7"/>
              <w:jc w:val="center"/>
              <w:rPr>
                <w:rFonts w:ascii="Times New Roman" w:hAnsi="Times New Roman" w:eastAsia="仿宋" w:cs="Times New Roman"/>
                <w:sz w:val="24"/>
                <w:szCs w:val="24"/>
              </w:rPr>
            </w:pPr>
            <w:r>
              <w:rPr>
                <w:rFonts w:ascii="Times New Roman" w:hAnsi="Times New Roman" w:eastAsia="仿宋" w:cs="Times New Roman"/>
                <w:sz w:val="24"/>
                <w:szCs w:val="24"/>
              </w:rPr>
              <w:t>消防救援大队队长</w:t>
            </w:r>
          </w:p>
        </w:tc>
        <w:tc>
          <w:tcPr>
            <w:tcW w:w="3741" w:type="pct"/>
            <w:vMerge w:val="continue"/>
          </w:tcPr>
          <w:p>
            <w:pPr>
              <w:adjustRightInd w:val="0"/>
              <w:snapToGrid w:val="0"/>
              <w:ind w:firstLine="480" w:firstLineChars="200"/>
              <w:rPr>
                <w:rFonts w:ascii="Times New Roman" w:hAnsi="Times New Roman"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7" w:type="pct"/>
            <w:vMerge w:val="restart"/>
            <w:vAlign w:val="center"/>
          </w:tcPr>
          <w:p>
            <w:pPr>
              <w:pStyle w:val="9"/>
              <w:adjustRightInd w:val="0"/>
              <w:snapToGrid w:val="0"/>
              <w:ind w:left="253" w:right="239"/>
              <w:jc w:val="center"/>
              <w:rPr>
                <w:rFonts w:ascii="Times New Roman" w:hAnsi="Times New Roman" w:eastAsia="仿宋" w:cs="Times New Roman"/>
                <w:sz w:val="24"/>
                <w:szCs w:val="24"/>
              </w:rPr>
            </w:pPr>
          </w:p>
          <w:p>
            <w:pPr>
              <w:pStyle w:val="9"/>
              <w:adjustRightInd w:val="0"/>
              <w:snapToGrid w:val="0"/>
              <w:ind w:left="253" w:right="239"/>
              <w:jc w:val="center"/>
              <w:rPr>
                <w:rFonts w:ascii="Times New Roman" w:hAnsi="Times New Roman" w:eastAsia="仿宋" w:cs="Times New Roman"/>
                <w:sz w:val="24"/>
                <w:szCs w:val="24"/>
              </w:rPr>
            </w:pPr>
            <w:r>
              <w:rPr>
                <w:rFonts w:ascii="Times New Roman" w:hAnsi="Times New Roman" w:eastAsia="仿宋" w:cs="Times New Roman"/>
                <w:sz w:val="24"/>
                <w:szCs w:val="24"/>
              </w:rPr>
              <w:t>成员单位</w:t>
            </w:r>
          </w:p>
          <w:p>
            <w:pPr>
              <w:pStyle w:val="9"/>
              <w:adjustRightInd w:val="0"/>
              <w:snapToGrid w:val="0"/>
              <w:jc w:val="center"/>
              <w:rPr>
                <w:rFonts w:ascii="Times New Roman" w:hAnsi="Times New Roman" w:eastAsia="仿宋" w:cs="Times New Roman"/>
                <w:sz w:val="24"/>
                <w:szCs w:val="24"/>
              </w:rPr>
            </w:pPr>
          </w:p>
          <w:p>
            <w:pPr>
              <w:pStyle w:val="9"/>
              <w:adjustRightInd w:val="0"/>
              <w:snapToGrid w:val="0"/>
              <w:jc w:val="center"/>
              <w:rPr>
                <w:rFonts w:ascii="Times New Roman" w:hAnsi="Times New Roman" w:eastAsia="仿宋" w:cs="Times New Roman"/>
                <w:sz w:val="24"/>
                <w:szCs w:val="24"/>
              </w:rPr>
            </w:pPr>
          </w:p>
          <w:p>
            <w:pPr>
              <w:pStyle w:val="9"/>
              <w:adjustRightInd w:val="0"/>
              <w:snapToGrid w:val="0"/>
              <w:jc w:val="center"/>
              <w:rPr>
                <w:rFonts w:ascii="Times New Roman" w:hAnsi="Times New Roman" w:eastAsia="仿宋" w:cs="Times New Roman"/>
                <w:sz w:val="24"/>
                <w:szCs w:val="24"/>
              </w:rPr>
            </w:pPr>
          </w:p>
          <w:p>
            <w:pPr>
              <w:pStyle w:val="9"/>
              <w:adjustRightInd w:val="0"/>
              <w:snapToGrid w:val="0"/>
              <w:jc w:val="center"/>
              <w:rPr>
                <w:rFonts w:ascii="Times New Roman" w:hAnsi="Times New Roman" w:eastAsia="仿宋" w:cs="Times New Roman"/>
                <w:sz w:val="24"/>
                <w:szCs w:val="24"/>
              </w:rPr>
            </w:pPr>
          </w:p>
          <w:p>
            <w:pPr>
              <w:pStyle w:val="9"/>
              <w:adjustRightInd w:val="0"/>
              <w:snapToGrid w:val="0"/>
              <w:jc w:val="center"/>
              <w:rPr>
                <w:rFonts w:ascii="Times New Roman" w:hAnsi="Times New Roman" w:eastAsia="仿宋" w:cs="Times New Roman"/>
                <w:sz w:val="24"/>
                <w:szCs w:val="24"/>
              </w:rPr>
            </w:pPr>
          </w:p>
          <w:p>
            <w:pPr>
              <w:pStyle w:val="9"/>
              <w:adjustRightInd w:val="0"/>
              <w:snapToGrid w:val="0"/>
              <w:jc w:val="center"/>
              <w:rPr>
                <w:rFonts w:ascii="Times New Roman" w:hAnsi="Times New Roman" w:eastAsia="仿宋" w:cs="Times New Roman"/>
                <w:sz w:val="24"/>
                <w:szCs w:val="24"/>
              </w:rPr>
            </w:pPr>
          </w:p>
          <w:p>
            <w:pPr>
              <w:pStyle w:val="9"/>
              <w:adjustRightInd w:val="0"/>
              <w:snapToGrid w:val="0"/>
              <w:jc w:val="center"/>
              <w:rPr>
                <w:rFonts w:ascii="Times New Roman" w:hAnsi="Times New Roman" w:eastAsia="仿宋" w:cs="Times New Roman"/>
                <w:sz w:val="24"/>
                <w:szCs w:val="24"/>
              </w:rPr>
            </w:pPr>
          </w:p>
          <w:p>
            <w:pPr>
              <w:pStyle w:val="9"/>
              <w:adjustRightInd w:val="0"/>
              <w:snapToGrid w:val="0"/>
              <w:jc w:val="center"/>
              <w:rPr>
                <w:rFonts w:ascii="Times New Roman" w:hAnsi="Times New Roman" w:eastAsia="仿宋" w:cs="Times New Roman"/>
                <w:sz w:val="24"/>
                <w:szCs w:val="24"/>
              </w:rPr>
            </w:pPr>
          </w:p>
          <w:p>
            <w:pPr>
              <w:pStyle w:val="9"/>
              <w:adjustRightInd w:val="0"/>
              <w:snapToGrid w:val="0"/>
              <w:jc w:val="center"/>
              <w:rPr>
                <w:rFonts w:ascii="Times New Roman" w:hAnsi="Times New Roman" w:eastAsia="仿宋" w:cs="Times New Roman"/>
                <w:sz w:val="24"/>
                <w:szCs w:val="24"/>
              </w:rPr>
            </w:pPr>
          </w:p>
          <w:p>
            <w:pPr>
              <w:pStyle w:val="9"/>
              <w:adjustRightInd w:val="0"/>
              <w:snapToGrid w:val="0"/>
              <w:jc w:val="center"/>
              <w:rPr>
                <w:rFonts w:ascii="Times New Roman" w:hAnsi="Times New Roman" w:eastAsia="仿宋" w:cs="Times New Roman"/>
                <w:sz w:val="24"/>
                <w:szCs w:val="24"/>
              </w:rPr>
            </w:pPr>
          </w:p>
          <w:p>
            <w:pPr>
              <w:pStyle w:val="9"/>
              <w:adjustRightInd w:val="0"/>
              <w:snapToGrid w:val="0"/>
              <w:ind w:left="253" w:right="239"/>
              <w:jc w:val="center"/>
              <w:rPr>
                <w:rFonts w:ascii="Times New Roman" w:hAnsi="Times New Roman" w:eastAsia="仿宋" w:cs="Times New Roman"/>
                <w:sz w:val="24"/>
                <w:szCs w:val="24"/>
              </w:rPr>
            </w:pPr>
            <w:r>
              <w:rPr>
                <w:rFonts w:ascii="Times New Roman" w:hAnsi="Times New Roman" w:eastAsia="仿宋" w:cs="Times New Roman"/>
                <w:sz w:val="24"/>
                <w:szCs w:val="24"/>
              </w:rPr>
              <w:t>成员单位</w:t>
            </w:r>
          </w:p>
          <w:p>
            <w:pPr>
              <w:pStyle w:val="9"/>
              <w:adjustRightInd w:val="0"/>
              <w:snapToGrid w:val="0"/>
              <w:ind w:left="253" w:right="239"/>
              <w:jc w:val="center"/>
              <w:rPr>
                <w:rFonts w:ascii="Times New Roman" w:hAnsi="Times New Roman" w:eastAsia="仿宋" w:cs="Times New Roman"/>
                <w:sz w:val="24"/>
                <w:szCs w:val="24"/>
              </w:rPr>
            </w:pPr>
          </w:p>
          <w:p>
            <w:pPr>
              <w:pStyle w:val="9"/>
              <w:adjustRightInd w:val="0"/>
              <w:snapToGrid w:val="0"/>
              <w:ind w:left="253" w:right="239"/>
              <w:jc w:val="center"/>
              <w:rPr>
                <w:rFonts w:ascii="Times New Roman" w:hAnsi="Times New Roman" w:eastAsia="仿宋" w:cs="Times New Roman"/>
                <w:sz w:val="24"/>
                <w:szCs w:val="24"/>
              </w:rPr>
            </w:pPr>
          </w:p>
          <w:p>
            <w:pPr>
              <w:pStyle w:val="9"/>
              <w:adjustRightInd w:val="0"/>
              <w:snapToGrid w:val="0"/>
              <w:ind w:left="253" w:right="239"/>
              <w:jc w:val="center"/>
              <w:rPr>
                <w:rFonts w:ascii="Times New Roman" w:hAnsi="Times New Roman" w:eastAsia="仿宋" w:cs="Times New Roman"/>
                <w:sz w:val="24"/>
                <w:szCs w:val="24"/>
              </w:rPr>
            </w:pPr>
          </w:p>
          <w:p>
            <w:pPr>
              <w:pStyle w:val="9"/>
              <w:adjustRightInd w:val="0"/>
              <w:snapToGrid w:val="0"/>
              <w:ind w:left="253" w:right="239"/>
              <w:jc w:val="center"/>
              <w:rPr>
                <w:rFonts w:ascii="Times New Roman" w:hAnsi="Times New Roman" w:eastAsia="仿宋" w:cs="Times New Roman"/>
                <w:sz w:val="24"/>
                <w:szCs w:val="24"/>
              </w:rPr>
            </w:pPr>
          </w:p>
          <w:p>
            <w:pPr>
              <w:pStyle w:val="9"/>
              <w:adjustRightInd w:val="0"/>
              <w:snapToGrid w:val="0"/>
              <w:ind w:left="253" w:right="239"/>
              <w:jc w:val="center"/>
              <w:rPr>
                <w:rFonts w:ascii="Times New Roman" w:hAnsi="Times New Roman" w:eastAsia="仿宋" w:cs="Times New Roman"/>
                <w:sz w:val="24"/>
                <w:szCs w:val="24"/>
              </w:rPr>
            </w:pPr>
          </w:p>
          <w:p>
            <w:pPr>
              <w:pStyle w:val="9"/>
              <w:adjustRightInd w:val="0"/>
              <w:snapToGrid w:val="0"/>
              <w:ind w:left="253" w:right="239"/>
              <w:jc w:val="center"/>
              <w:rPr>
                <w:rFonts w:ascii="Times New Roman" w:hAnsi="Times New Roman" w:eastAsia="仿宋" w:cs="Times New Roman"/>
                <w:sz w:val="24"/>
                <w:szCs w:val="24"/>
              </w:rPr>
            </w:pPr>
          </w:p>
          <w:p>
            <w:pPr>
              <w:pStyle w:val="9"/>
              <w:adjustRightInd w:val="0"/>
              <w:snapToGrid w:val="0"/>
              <w:ind w:left="253" w:right="239"/>
              <w:jc w:val="center"/>
              <w:rPr>
                <w:rFonts w:ascii="Times New Roman" w:hAnsi="Times New Roman" w:eastAsia="仿宋" w:cs="Times New Roman"/>
                <w:sz w:val="24"/>
                <w:szCs w:val="24"/>
              </w:rPr>
            </w:pPr>
          </w:p>
          <w:p>
            <w:pPr>
              <w:pStyle w:val="9"/>
              <w:adjustRightInd w:val="0"/>
              <w:snapToGrid w:val="0"/>
              <w:ind w:left="253" w:right="239"/>
              <w:jc w:val="center"/>
              <w:rPr>
                <w:rFonts w:ascii="Times New Roman" w:hAnsi="Times New Roman" w:eastAsia="仿宋" w:cs="Times New Roman"/>
                <w:sz w:val="24"/>
                <w:szCs w:val="24"/>
              </w:rPr>
            </w:pPr>
          </w:p>
          <w:p>
            <w:pPr>
              <w:pStyle w:val="9"/>
              <w:adjustRightInd w:val="0"/>
              <w:snapToGrid w:val="0"/>
              <w:ind w:left="253" w:right="239"/>
              <w:jc w:val="center"/>
              <w:rPr>
                <w:rFonts w:ascii="Times New Roman" w:hAnsi="Times New Roman" w:eastAsia="仿宋" w:cs="Times New Roman"/>
                <w:sz w:val="24"/>
                <w:szCs w:val="24"/>
              </w:rPr>
            </w:pPr>
          </w:p>
          <w:p>
            <w:pPr>
              <w:pStyle w:val="9"/>
              <w:adjustRightInd w:val="0"/>
              <w:snapToGrid w:val="0"/>
              <w:ind w:left="253" w:right="239"/>
              <w:jc w:val="center"/>
              <w:rPr>
                <w:rFonts w:ascii="Times New Roman" w:hAnsi="Times New Roman" w:eastAsia="仿宋" w:cs="Times New Roman"/>
                <w:sz w:val="24"/>
                <w:szCs w:val="24"/>
              </w:rPr>
            </w:pPr>
          </w:p>
          <w:p>
            <w:pPr>
              <w:pStyle w:val="9"/>
              <w:adjustRightInd w:val="0"/>
              <w:snapToGrid w:val="0"/>
              <w:ind w:left="253" w:right="239"/>
              <w:jc w:val="center"/>
              <w:rPr>
                <w:rFonts w:ascii="Times New Roman" w:hAnsi="Times New Roman" w:eastAsia="仿宋" w:cs="Times New Roman"/>
                <w:sz w:val="24"/>
                <w:szCs w:val="24"/>
              </w:rPr>
            </w:pPr>
          </w:p>
          <w:p>
            <w:pPr>
              <w:pStyle w:val="9"/>
              <w:adjustRightInd w:val="0"/>
              <w:snapToGrid w:val="0"/>
              <w:ind w:left="253" w:right="239"/>
              <w:jc w:val="center"/>
              <w:rPr>
                <w:rFonts w:ascii="Times New Roman" w:hAnsi="Times New Roman" w:eastAsia="仿宋" w:cs="Times New Roman"/>
                <w:sz w:val="24"/>
                <w:szCs w:val="24"/>
              </w:rPr>
            </w:pPr>
          </w:p>
          <w:p>
            <w:pPr>
              <w:pStyle w:val="9"/>
              <w:adjustRightInd w:val="0"/>
              <w:snapToGrid w:val="0"/>
              <w:ind w:left="253" w:right="239"/>
              <w:jc w:val="center"/>
              <w:rPr>
                <w:rFonts w:ascii="Times New Roman" w:hAnsi="Times New Roman" w:eastAsia="仿宋" w:cs="Times New Roman"/>
                <w:sz w:val="24"/>
                <w:szCs w:val="24"/>
              </w:rPr>
            </w:pPr>
          </w:p>
          <w:p>
            <w:pPr>
              <w:pStyle w:val="9"/>
              <w:adjustRightInd w:val="0"/>
              <w:snapToGrid w:val="0"/>
              <w:ind w:left="253" w:right="239"/>
              <w:jc w:val="center"/>
              <w:rPr>
                <w:rFonts w:ascii="Times New Roman" w:hAnsi="Times New Roman" w:eastAsia="仿宋" w:cs="Times New Roman"/>
                <w:sz w:val="24"/>
                <w:szCs w:val="24"/>
              </w:rPr>
            </w:pPr>
          </w:p>
          <w:p>
            <w:pPr>
              <w:pStyle w:val="9"/>
              <w:adjustRightInd w:val="0"/>
              <w:snapToGrid w:val="0"/>
              <w:ind w:left="253" w:right="239"/>
              <w:jc w:val="center"/>
              <w:rPr>
                <w:rFonts w:ascii="Times New Roman" w:hAnsi="Times New Roman" w:eastAsia="仿宋" w:cs="Times New Roman"/>
                <w:sz w:val="24"/>
                <w:szCs w:val="24"/>
              </w:rPr>
            </w:pPr>
          </w:p>
          <w:p>
            <w:pPr>
              <w:pStyle w:val="9"/>
              <w:adjustRightInd w:val="0"/>
              <w:snapToGrid w:val="0"/>
              <w:ind w:left="253" w:right="239"/>
              <w:jc w:val="center"/>
              <w:rPr>
                <w:rFonts w:ascii="Times New Roman" w:hAnsi="Times New Roman" w:eastAsia="仿宋" w:cs="Times New Roman"/>
                <w:sz w:val="24"/>
                <w:szCs w:val="24"/>
              </w:rPr>
            </w:pPr>
          </w:p>
          <w:p>
            <w:pPr>
              <w:pStyle w:val="9"/>
              <w:adjustRightInd w:val="0"/>
              <w:snapToGrid w:val="0"/>
              <w:ind w:left="253" w:right="239"/>
              <w:jc w:val="center"/>
              <w:rPr>
                <w:rFonts w:ascii="Times New Roman" w:hAnsi="Times New Roman" w:eastAsia="仿宋" w:cs="Times New Roman"/>
                <w:sz w:val="24"/>
                <w:szCs w:val="24"/>
              </w:rPr>
            </w:pPr>
          </w:p>
          <w:p>
            <w:pPr>
              <w:pStyle w:val="9"/>
              <w:adjustRightInd w:val="0"/>
              <w:snapToGrid w:val="0"/>
              <w:ind w:left="253" w:right="239"/>
              <w:jc w:val="center"/>
              <w:rPr>
                <w:rFonts w:ascii="Times New Roman" w:hAnsi="Times New Roman" w:eastAsia="仿宋" w:cs="Times New Roman"/>
                <w:sz w:val="24"/>
                <w:szCs w:val="24"/>
              </w:rPr>
            </w:pPr>
          </w:p>
          <w:p>
            <w:pPr>
              <w:pStyle w:val="9"/>
              <w:adjustRightInd w:val="0"/>
              <w:snapToGrid w:val="0"/>
              <w:ind w:left="253" w:right="239"/>
              <w:jc w:val="center"/>
              <w:rPr>
                <w:rFonts w:ascii="Times New Roman" w:hAnsi="Times New Roman" w:eastAsia="仿宋" w:cs="Times New Roman"/>
                <w:sz w:val="24"/>
                <w:szCs w:val="24"/>
              </w:rPr>
            </w:pPr>
          </w:p>
          <w:p>
            <w:pPr>
              <w:pStyle w:val="9"/>
              <w:adjustRightInd w:val="0"/>
              <w:snapToGrid w:val="0"/>
              <w:ind w:left="253" w:right="239"/>
              <w:jc w:val="center"/>
              <w:rPr>
                <w:rFonts w:ascii="Times New Roman" w:hAnsi="Times New Roman" w:eastAsia="仿宋" w:cs="Times New Roman"/>
                <w:sz w:val="24"/>
                <w:szCs w:val="24"/>
              </w:rPr>
            </w:pPr>
          </w:p>
          <w:p>
            <w:pPr>
              <w:pStyle w:val="9"/>
              <w:adjustRightInd w:val="0"/>
              <w:snapToGrid w:val="0"/>
              <w:ind w:left="253" w:right="239"/>
              <w:jc w:val="center"/>
              <w:rPr>
                <w:rFonts w:ascii="Times New Roman" w:hAnsi="Times New Roman" w:eastAsia="仿宋" w:cs="Times New Roman"/>
                <w:sz w:val="24"/>
                <w:szCs w:val="24"/>
              </w:rPr>
            </w:pPr>
          </w:p>
          <w:p>
            <w:pPr>
              <w:pStyle w:val="9"/>
              <w:adjustRightInd w:val="0"/>
              <w:snapToGrid w:val="0"/>
              <w:ind w:left="253" w:right="239"/>
              <w:jc w:val="center"/>
              <w:rPr>
                <w:rFonts w:ascii="Times New Roman" w:hAnsi="Times New Roman" w:eastAsia="仿宋" w:cs="Times New Roman"/>
                <w:sz w:val="24"/>
                <w:szCs w:val="24"/>
              </w:rPr>
            </w:pPr>
          </w:p>
          <w:p>
            <w:pPr>
              <w:pStyle w:val="9"/>
              <w:adjustRightInd w:val="0"/>
              <w:snapToGrid w:val="0"/>
              <w:ind w:left="253" w:right="239"/>
              <w:jc w:val="center"/>
              <w:rPr>
                <w:rFonts w:ascii="Times New Roman" w:hAnsi="Times New Roman" w:eastAsia="仿宋" w:cs="Times New Roman"/>
                <w:sz w:val="24"/>
                <w:szCs w:val="24"/>
              </w:rPr>
            </w:pPr>
            <w:r>
              <w:rPr>
                <w:rFonts w:ascii="Times New Roman" w:hAnsi="Times New Roman" w:eastAsia="仿宋" w:cs="Times New Roman"/>
                <w:sz w:val="24"/>
                <w:szCs w:val="24"/>
              </w:rPr>
              <w:t>成员单位</w:t>
            </w:r>
          </w:p>
        </w:tc>
        <w:tc>
          <w:tcPr>
            <w:tcW w:w="972" w:type="pct"/>
            <w:vAlign w:val="center"/>
          </w:tcPr>
          <w:p>
            <w:pPr>
              <w:pStyle w:val="9"/>
              <w:adjustRightInd w:val="0"/>
              <w:snapToGrid w:val="0"/>
              <w:ind w:left="7"/>
              <w:jc w:val="center"/>
              <w:rPr>
                <w:rFonts w:ascii="Times New Roman" w:hAnsi="Times New Roman" w:eastAsia="仿宋" w:cs="Times New Roman"/>
                <w:sz w:val="24"/>
                <w:szCs w:val="24"/>
              </w:rPr>
            </w:pPr>
            <w:r>
              <w:rPr>
                <w:rFonts w:ascii="Times New Roman" w:hAnsi="Times New Roman" w:eastAsia="仿宋" w:cs="Times New Roman"/>
                <w:sz w:val="24"/>
                <w:szCs w:val="24"/>
              </w:rPr>
              <w:t>县委宣传部</w:t>
            </w:r>
          </w:p>
        </w:tc>
        <w:tc>
          <w:tcPr>
            <w:tcW w:w="3741" w:type="pct"/>
          </w:tcPr>
          <w:p>
            <w:pPr>
              <w:pStyle w:val="9"/>
              <w:adjustRightInd w:val="0"/>
              <w:snapToGrid w:val="0"/>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按照县防指统一部署，组织协调新闻媒体做好防汛抗旱抢险救灾新闻报道工作，积极引导舆论。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7" w:type="pct"/>
            <w:vMerge w:val="continue"/>
            <w:vAlign w:val="center"/>
          </w:tcPr>
          <w:p>
            <w:pPr>
              <w:pStyle w:val="9"/>
              <w:adjustRightInd w:val="0"/>
              <w:snapToGrid w:val="0"/>
              <w:ind w:left="253" w:right="239"/>
              <w:jc w:val="center"/>
              <w:rPr>
                <w:rFonts w:ascii="Times New Roman" w:hAnsi="Times New Roman" w:eastAsia="仿宋" w:cs="Times New Roman"/>
                <w:sz w:val="24"/>
                <w:szCs w:val="24"/>
              </w:rPr>
            </w:pPr>
          </w:p>
        </w:tc>
        <w:tc>
          <w:tcPr>
            <w:tcW w:w="972" w:type="pct"/>
            <w:vAlign w:val="center"/>
          </w:tcPr>
          <w:p>
            <w:pPr>
              <w:pStyle w:val="9"/>
              <w:adjustRightInd w:val="0"/>
              <w:snapToGrid w:val="0"/>
              <w:ind w:left="7"/>
              <w:jc w:val="center"/>
              <w:rPr>
                <w:rFonts w:ascii="Times New Roman" w:hAnsi="Times New Roman" w:eastAsia="仿宋" w:cs="Times New Roman"/>
                <w:sz w:val="24"/>
                <w:szCs w:val="24"/>
              </w:rPr>
            </w:pPr>
            <w:r>
              <w:rPr>
                <w:rFonts w:ascii="Times New Roman" w:hAnsi="Times New Roman" w:eastAsia="仿宋" w:cs="Times New Roman"/>
                <w:sz w:val="24"/>
                <w:szCs w:val="24"/>
              </w:rPr>
              <w:t>县城乡建设和交通运输局</w:t>
            </w:r>
          </w:p>
        </w:tc>
        <w:tc>
          <w:tcPr>
            <w:tcW w:w="3741" w:type="pct"/>
          </w:tcPr>
          <w:p>
            <w:pPr>
              <w:pStyle w:val="9"/>
              <w:adjustRightInd w:val="0"/>
              <w:snapToGrid w:val="0"/>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组织全县防洪、抗旱工作，指导</w:t>
            </w:r>
            <w:r>
              <w:rPr>
                <w:rFonts w:hint="eastAsia" w:ascii="Times New Roman" w:hAnsi="Times New Roman" w:eastAsia="仿宋" w:cs="Times New Roman"/>
                <w:sz w:val="24"/>
                <w:szCs w:val="24"/>
              </w:rPr>
              <w:t>全县</w:t>
            </w:r>
            <w:r>
              <w:rPr>
                <w:rFonts w:ascii="Times New Roman" w:hAnsi="Times New Roman" w:eastAsia="仿宋" w:cs="Times New Roman"/>
                <w:sz w:val="24"/>
                <w:szCs w:val="24"/>
              </w:rPr>
              <w:t>做好城市排水防涝和干旱缺水应对工作。</w:t>
            </w:r>
          </w:p>
          <w:p>
            <w:pPr>
              <w:pStyle w:val="9"/>
              <w:adjustRightInd w:val="0"/>
              <w:snapToGrid w:val="0"/>
              <w:rPr>
                <w:rFonts w:ascii="Times New Roman" w:hAnsi="Times New Roman" w:eastAsia="仿宋" w:cs="Times New Roman"/>
                <w:sz w:val="24"/>
                <w:szCs w:val="24"/>
              </w:rPr>
            </w:pPr>
            <w:r>
              <w:rPr>
                <w:rFonts w:ascii="Times New Roman" w:hAnsi="Times New Roman" w:eastAsia="仿宋" w:cs="Times New Roman"/>
                <w:sz w:val="24"/>
                <w:szCs w:val="24"/>
              </w:rPr>
              <w:t>指导协调县交通运输部门做好公路交通设施的防洪安全工作，督促指导公路管理部门设置公路易积水地带的防护设施和警示标志，指导涉水公路、桥涵等在建工程管理部门安全度汛监管工作，协调公路建设部门清除施工时形成的河道障碍，协调县交通运输部门组织运力征用，协调防汛抗旱和防疫人员以及抢险物资、设备运输车辆公路“绿色通道”专用收费道口的优先通行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7" w:type="pct"/>
            <w:vMerge w:val="continue"/>
            <w:vAlign w:val="center"/>
          </w:tcPr>
          <w:p>
            <w:pPr>
              <w:adjustRightInd w:val="0"/>
              <w:snapToGrid w:val="0"/>
              <w:jc w:val="center"/>
              <w:rPr>
                <w:rFonts w:ascii="Times New Roman" w:hAnsi="Times New Roman" w:eastAsia="仿宋"/>
                <w:sz w:val="24"/>
                <w:szCs w:val="24"/>
              </w:rPr>
            </w:pPr>
          </w:p>
        </w:tc>
        <w:tc>
          <w:tcPr>
            <w:tcW w:w="972" w:type="pct"/>
            <w:vAlign w:val="center"/>
          </w:tcPr>
          <w:p>
            <w:pPr>
              <w:pStyle w:val="9"/>
              <w:adjustRightInd w:val="0"/>
              <w:snapToGrid w:val="0"/>
              <w:ind w:left="7"/>
              <w:jc w:val="center"/>
              <w:rPr>
                <w:rFonts w:ascii="Times New Roman" w:hAnsi="Times New Roman" w:eastAsia="仿宋" w:cs="Times New Roman"/>
                <w:sz w:val="24"/>
                <w:szCs w:val="24"/>
              </w:rPr>
            </w:pPr>
            <w:r>
              <w:rPr>
                <w:rFonts w:ascii="Times New Roman" w:hAnsi="Times New Roman" w:eastAsia="仿宋" w:cs="Times New Roman"/>
                <w:sz w:val="24"/>
                <w:szCs w:val="24"/>
              </w:rPr>
              <w:t>县规划和自然资源局</w:t>
            </w:r>
          </w:p>
        </w:tc>
        <w:tc>
          <w:tcPr>
            <w:tcW w:w="3741" w:type="pct"/>
          </w:tcPr>
          <w:p>
            <w:pPr>
              <w:pStyle w:val="9"/>
              <w:adjustRightInd w:val="0"/>
              <w:snapToGrid w:val="0"/>
              <w:ind w:firstLine="472" w:firstLineChars="200"/>
              <w:rPr>
                <w:rFonts w:ascii="Times New Roman" w:hAnsi="Times New Roman" w:eastAsia="仿宋" w:cs="Times New Roman"/>
                <w:sz w:val="24"/>
                <w:szCs w:val="24"/>
              </w:rPr>
            </w:pPr>
            <w:r>
              <w:rPr>
                <w:rFonts w:ascii="Times New Roman" w:hAnsi="Times New Roman" w:eastAsia="仿宋" w:cs="Times New Roman"/>
                <w:spacing w:val="-2"/>
                <w:sz w:val="24"/>
                <w:szCs w:val="24"/>
              </w:rPr>
              <w:t>组织指导协调和监督全县地质灾害调查评价及隐患排查工作，指导开展地质灾害治理，开展群测群防、专业监测和预报预警等工作</w:t>
            </w:r>
            <w:r>
              <w:rPr>
                <w:rFonts w:ascii="Times New Roman" w:hAnsi="Times New Roman" w:eastAsia="仿宋"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7" w:type="pct"/>
            <w:vMerge w:val="continue"/>
            <w:vAlign w:val="center"/>
          </w:tcPr>
          <w:p>
            <w:pPr>
              <w:adjustRightInd w:val="0"/>
              <w:snapToGrid w:val="0"/>
              <w:jc w:val="center"/>
              <w:rPr>
                <w:rFonts w:ascii="Times New Roman" w:hAnsi="Times New Roman" w:eastAsia="仿宋"/>
                <w:sz w:val="24"/>
                <w:szCs w:val="24"/>
              </w:rPr>
            </w:pPr>
          </w:p>
        </w:tc>
        <w:tc>
          <w:tcPr>
            <w:tcW w:w="972" w:type="pct"/>
            <w:vAlign w:val="center"/>
          </w:tcPr>
          <w:p>
            <w:pPr>
              <w:pStyle w:val="9"/>
              <w:adjustRightInd w:val="0"/>
              <w:snapToGrid w:val="0"/>
              <w:ind w:left="7"/>
              <w:jc w:val="center"/>
              <w:rPr>
                <w:rFonts w:ascii="Times New Roman" w:hAnsi="Times New Roman" w:eastAsia="仿宋" w:cs="Times New Roman"/>
                <w:sz w:val="24"/>
                <w:szCs w:val="24"/>
              </w:rPr>
            </w:pPr>
            <w:r>
              <w:rPr>
                <w:rFonts w:ascii="Times New Roman" w:hAnsi="Times New Roman" w:eastAsia="仿宋" w:cs="Times New Roman"/>
                <w:sz w:val="24"/>
                <w:szCs w:val="24"/>
              </w:rPr>
              <w:t>县发改工信和科技商务局</w:t>
            </w:r>
          </w:p>
        </w:tc>
        <w:tc>
          <w:tcPr>
            <w:tcW w:w="3741" w:type="pct"/>
          </w:tcPr>
          <w:p>
            <w:pPr>
              <w:pStyle w:val="9"/>
              <w:adjustRightInd w:val="0"/>
              <w:snapToGrid w:val="0"/>
              <w:ind w:firstLine="472" w:firstLineChars="200"/>
              <w:rPr>
                <w:rFonts w:ascii="Times New Roman" w:hAnsi="Times New Roman" w:eastAsia="仿宋" w:cs="Times New Roman"/>
                <w:sz w:val="24"/>
                <w:szCs w:val="24"/>
              </w:rPr>
            </w:pPr>
            <w:r>
              <w:rPr>
                <w:rFonts w:ascii="Times New Roman" w:hAnsi="Times New Roman" w:eastAsia="仿宋" w:cs="Times New Roman"/>
                <w:spacing w:val="-2"/>
                <w:sz w:val="24"/>
                <w:szCs w:val="24"/>
              </w:rPr>
              <w:t>指导防汛抗旱规划和建设工作，积极争取国家发改局水旱灾害应急资金；协调各部门开展</w:t>
            </w:r>
            <w:r>
              <w:rPr>
                <w:rFonts w:ascii="Times New Roman" w:hAnsi="Times New Roman" w:eastAsia="仿宋" w:cs="Times New Roman"/>
                <w:sz w:val="24"/>
                <w:szCs w:val="24"/>
              </w:rPr>
              <w:t>应急物资储备调运相关工作。在防汛抗旱抢险救灾紧急状态下，负责重要物资生产组织工作。负责组织协调电信运营企业做好防汛抗旱抢险救援通信保障应急工作。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7" w:type="pct"/>
            <w:vMerge w:val="continue"/>
            <w:vAlign w:val="center"/>
          </w:tcPr>
          <w:p>
            <w:pPr>
              <w:adjustRightInd w:val="0"/>
              <w:snapToGrid w:val="0"/>
              <w:jc w:val="center"/>
              <w:rPr>
                <w:rFonts w:ascii="Times New Roman" w:hAnsi="Times New Roman" w:eastAsia="仿宋"/>
                <w:sz w:val="24"/>
                <w:szCs w:val="24"/>
              </w:rPr>
            </w:pPr>
          </w:p>
        </w:tc>
        <w:tc>
          <w:tcPr>
            <w:tcW w:w="972" w:type="pct"/>
            <w:vAlign w:val="center"/>
          </w:tcPr>
          <w:p>
            <w:pPr>
              <w:pStyle w:val="9"/>
              <w:adjustRightInd w:val="0"/>
              <w:snapToGrid w:val="0"/>
              <w:ind w:left="7"/>
              <w:jc w:val="center"/>
              <w:rPr>
                <w:rFonts w:ascii="Times New Roman" w:hAnsi="Times New Roman" w:eastAsia="仿宋" w:cs="Times New Roman"/>
                <w:sz w:val="24"/>
                <w:szCs w:val="24"/>
              </w:rPr>
            </w:pPr>
            <w:r>
              <w:rPr>
                <w:rFonts w:ascii="Times New Roman" w:hAnsi="Times New Roman" w:eastAsia="仿宋" w:cs="Times New Roman"/>
                <w:sz w:val="24"/>
                <w:szCs w:val="24"/>
              </w:rPr>
              <w:t>县农业农村和水利局</w:t>
            </w:r>
          </w:p>
        </w:tc>
        <w:tc>
          <w:tcPr>
            <w:tcW w:w="3741" w:type="pct"/>
          </w:tcPr>
          <w:p>
            <w:pPr>
              <w:pStyle w:val="9"/>
              <w:adjustRightInd w:val="0"/>
              <w:snapToGrid w:val="0"/>
              <w:ind w:firstLine="476" w:firstLineChars="200"/>
              <w:rPr>
                <w:rFonts w:ascii="Times New Roman" w:hAnsi="Times New Roman" w:eastAsia="仿宋" w:cs="Times New Roman"/>
                <w:spacing w:val="-1"/>
                <w:sz w:val="24"/>
                <w:szCs w:val="24"/>
              </w:rPr>
            </w:pPr>
            <w:r>
              <w:rPr>
                <w:rFonts w:ascii="Times New Roman" w:hAnsi="Times New Roman" w:eastAsia="仿宋" w:cs="Times New Roman"/>
                <w:spacing w:val="-1"/>
                <w:sz w:val="24"/>
                <w:szCs w:val="24"/>
              </w:rPr>
              <w:t>及时收集、整理和反映农业洪涝、干旱灾情信息，指导落实灾后农作物的补救措施；负责全县救灾备荒种子、饲草、动物防疫物资储备的调剂和管理；指导灾区动物疫病防治工作。</w:t>
            </w:r>
          </w:p>
          <w:p>
            <w:pPr>
              <w:pStyle w:val="9"/>
              <w:adjustRightInd w:val="0"/>
              <w:snapToGrid w:val="0"/>
              <w:ind w:firstLine="476" w:firstLineChars="200"/>
              <w:rPr>
                <w:rFonts w:ascii="Times New Roman" w:hAnsi="Times New Roman" w:eastAsia="仿宋" w:cs="Times New Roman"/>
                <w:sz w:val="24"/>
                <w:szCs w:val="24"/>
              </w:rPr>
            </w:pPr>
            <w:r>
              <w:rPr>
                <w:rFonts w:ascii="Times New Roman" w:hAnsi="Times New Roman" w:eastAsia="仿宋" w:cs="Times New Roman"/>
                <w:spacing w:val="-1"/>
                <w:sz w:val="24"/>
                <w:szCs w:val="24"/>
              </w:rPr>
              <w:t>负责水旱灾害防御和日常防汛抗旱工作；组织指导水旱防治体系建设；组织编制洪水干旱灾害防治规划和防护标准并指导实施；负责组织</w:t>
            </w:r>
            <w:r>
              <w:rPr>
                <w:rFonts w:hint="eastAsia" w:ascii="Times New Roman" w:hAnsi="Times New Roman" w:eastAsia="仿宋" w:cs="Times New Roman"/>
                <w:spacing w:val="-1"/>
                <w:sz w:val="24"/>
                <w:szCs w:val="24"/>
              </w:rPr>
              <w:t>县内</w:t>
            </w:r>
            <w:r>
              <w:rPr>
                <w:rFonts w:ascii="Times New Roman" w:hAnsi="Times New Roman" w:eastAsia="仿宋" w:cs="Times New Roman"/>
                <w:spacing w:val="-1"/>
                <w:sz w:val="24"/>
                <w:szCs w:val="24"/>
              </w:rPr>
              <w:t>雨、水情、土壤墒情监测预警和洪水预报、水工程调度、日常检查、宣传教育、水旱灾害防治工程建设等；为防御洪水应急抢险提供技术支撑；负责发布水情旱情信息；在汛期，加强对水工程管理单位的指导，工程管理单位必须按照规定对水工程进</w:t>
            </w:r>
            <w:r>
              <w:rPr>
                <w:rFonts w:ascii="Times New Roman" w:hAnsi="Times New Roman" w:eastAsia="仿宋" w:cs="Times New Roman"/>
                <w:sz w:val="24"/>
                <w:szCs w:val="24"/>
              </w:rPr>
              <w:t>行巡查，发现险情，立即采取抢护措施，并及时向</w:t>
            </w:r>
            <w:r>
              <w:rPr>
                <w:rFonts w:hint="eastAsia" w:ascii="Times New Roman" w:hAnsi="Times New Roman" w:eastAsia="仿宋" w:cs="Times New Roman"/>
                <w:sz w:val="24"/>
                <w:szCs w:val="24"/>
              </w:rPr>
              <w:t>县防指</w:t>
            </w:r>
            <w:r>
              <w:rPr>
                <w:rFonts w:ascii="Times New Roman" w:hAnsi="Times New Roman" w:eastAsia="仿宋" w:cs="Times New Roman"/>
                <w:sz w:val="24"/>
                <w:szCs w:val="24"/>
              </w:rPr>
              <w:t>和上级主管部门报告。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7" w:type="pct"/>
            <w:vMerge w:val="continue"/>
            <w:vAlign w:val="center"/>
          </w:tcPr>
          <w:p>
            <w:pPr>
              <w:adjustRightInd w:val="0"/>
              <w:snapToGrid w:val="0"/>
              <w:jc w:val="center"/>
              <w:rPr>
                <w:rFonts w:ascii="Times New Roman" w:hAnsi="Times New Roman" w:eastAsia="仿宋"/>
                <w:sz w:val="24"/>
                <w:szCs w:val="24"/>
              </w:rPr>
            </w:pPr>
          </w:p>
        </w:tc>
        <w:tc>
          <w:tcPr>
            <w:tcW w:w="972" w:type="pct"/>
            <w:vAlign w:val="center"/>
          </w:tcPr>
          <w:p>
            <w:pPr>
              <w:pStyle w:val="9"/>
              <w:adjustRightInd w:val="0"/>
              <w:snapToGrid w:val="0"/>
              <w:ind w:left="7"/>
              <w:jc w:val="center"/>
              <w:rPr>
                <w:rFonts w:ascii="Times New Roman" w:hAnsi="Times New Roman" w:eastAsia="仿宋" w:cs="Times New Roman"/>
                <w:sz w:val="24"/>
                <w:szCs w:val="24"/>
              </w:rPr>
            </w:pPr>
            <w:r>
              <w:rPr>
                <w:rFonts w:ascii="Times New Roman" w:hAnsi="Times New Roman" w:eastAsia="仿宋" w:cs="Times New Roman"/>
                <w:sz w:val="24"/>
                <w:szCs w:val="24"/>
              </w:rPr>
              <w:t>县财政局</w:t>
            </w:r>
          </w:p>
        </w:tc>
        <w:tc>
          <w:tcPr>
            <w:tcW w:w="3741" w:type="pct"/>
          </w:tcPr>
          <w:p>
            <w:pPr>
              <w:pStyle w:val="9"/>
              <w:adjustRightInd w:val="0"/>
              <w:snapToGrid w:val="0"/>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按照分级负担原则，积极筹措防汛抗旱应急资金，及时拨付并监督使用。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7" w:type="pct"/>
            <w:vMerge w:val="continue"/>
            <w:vAlign w:val="center"/>
          </w:tcPr>
          <w:p>
            <w:pPr>
              <w:adjustRightInd w:val="0"/>
              <w:snapToGrid w:val="0"/>
              <w:jc w:val="center"/>
              <w:rPr>
                <w:rFonts w:ascii="Times New Roman" w:hAnsi="Times New Roman" w:eastAsia="仿宋"/>
                <w:sz w:val="24"/>
                <w:szCs w:val="24"/>
              </w:rPr>
            </w:pPr>
          </w:p>
        </w:tc>
        <w:tc>
          <w:tcPr>
            <w:tcW w:w="972" w:type="pct"/>
            <w:vAlign w:val="center"/>
          </w:tcPr>
          <w:p>
            <w:pPr>
              <w:pStyle w:val="9"/>
              <w:adjustRightInd w:val="0"/>
              <w:snapToGrid w:val="0"/>
              <w:ind w:left="7"/>
              <w:jc w:val="center"/>
              <w:rPr>
                <w:rFonts w:ascii="Times New Roman" w:hAnsi="Times New Roman" w:eastAsia="仿宋" w:cs="Times New Roman"/>
                <w:sz w:val="24"/>
                <w:szCs w:val="24"/>
              </w:rPr>
            </w:pPr>
            <w:r>
              <w:rPr>
                <w:rFonts w:ascii="Times New Roman" w:hAnsi="Times New Roman" w:eastAsia="仿宋" w:cs="Times New Roman"/>
                <w:sz w:val="24"/>
                <w:szCs w:val="24"/>
              </w:rPr>
              <w:t>县教育体育局</w:t>
            </w:r>
          </w:p>
        </w:tc>
        <w:tc>
          <w:tcPr>
            <w:tcW w:w="3741" w:type="pct"/>
          </w:tcPr>
          <w:p>
            <w:pPr>
              <w:pStyle w:val="9"/>
              <w:adjustRightInd w:val="0"/>
              <w:snapToGrid w:val="0"/>
              <w:ind w:firstLine="472" w:firstLineChars="200"/>
              <w:rPr>
                <w:rFonts w:ascii="Times New Roman" w:hAnsi="Times New Roman" w:eastAsia="仿宋" w:cs="Times New Roman"/>
                <w:sz w:val="24"/>
                <w:szCs w:val="24"/>
              </w:rPr>
            </w:pPr>
            <w:r>
              <w:rPr>
                <w:rFonts w:ascii="Times New Roman" w:hAnsi="Times New Roman" w:eastAsia="仿宋" w:cs="Times New Roman"/>
                <w:spacing w:val="-2"/>
                <w:sz w:val="24"/>
                <w:szCs w:val="24"/>
              </w:rPr>
              <w:t>负责监督、检查本系统学校防洪安全和干旱期间饮水安全，及时对学校发出汛情和旱情预警信</w:t>
            </w:r>
            <w:r>
              <w:rPr>
                <w:rFonts w:ascii="Times New Roman" w:hAnsi="Times New Roman" w:eastAsia="仿宋" w:cs="Times New Roman"/>
                <w:sz w:val="24"/>
                <w:szCs w:val="24"/>
              </w:rPr>
              <w:t>息，对在校师生进行防洪和抗旱节水安全宣传教育，组织开展危险校舍排查和修缮工作。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7" w:type="pct"/>
            <w:vMerge w:val="continue"/>
            <w:vAlign w:val="center"/>
          </w:tcPr>
          <w:p>
            <w:pPr>
              <w:adjustRightInd w:val="0"/>
              <w:snapToGrid w:val="0"/>
              <w:jc w:val="center"/>
              <w:rPr>
                <w:rFonts w:ascii="Times New Roman" w:hAnsi="Times New Roman" w:eastAsia="仿宋"/>
                <w:sz w:val="24"/>
                <w:szCs w:val="24"/>
              </w:rPr>
            </w:pPr>
          </w:p>
        </w:tc>
        <w:tc>
          <w:tcPr>
            <w:tcW w:w="972" w:type="pct"/>
            <w:vAlign w:val="center"/>
          </w:tcPr>
          <w:p>
            <w:pPr>
              <w:pStyle w:val="9"/>
              <w:adjustRightInd w:val="0"/>
              <w:snapToGrid w:val="0"/>
              <w:ind w:left="7"/>
              <w:jc w:val="center"/>
              <w:rPr>
                <w:rFonts w:ascii="Times New Roman" w:hAnsi="Times New Roman" w:eastAsia="仿宋" w:cs="Times New Roman"/>
                <w:sz w:val="24"/>
                <w:szCs w:val="24"/>
              </w:rPr>
            </w:pPr>
            <w:r>
              <w:rPr>
                <w:rFonts w:ascii="Times New Roman" w:hAnsi="Times New Roman" w:eastAsia="仿宋" w:cs="Times New Roman"/>
                <w:sz w:val="24"/>
                <w:szCs w:val="24"/>
              </w:rPr>
              <w:t>县公安局</w:t>
            </w:r>
          </w:p>
        </w:tc>
        <w:tc>
          <w:tcPr>
            <w:tcW w:w="3741" w:type="pct"/>
          </w:tcPr>
          <w:p>
            <w:pPr>
              <w:pStyle w:val="9"/>
              <w:adjustRightInd w:val="0"/>
              <w:snapToGrid w:val="0"/>
              <w:ind w:firstLine="472" w:firstLineChars="200"/>
              <w:rPr>
                <w:rFonts w:ascii="Times New Roman" w:hAnsi="Times New Roman" w:eastAsia="仿宋" w:cs="Times New Roman"/>
                <w:sz w:val="24"/>
                <w:szCs w:val="24"/>
              </w:rPr>
            </w:pPr>
            <w:r>
              <w:rPr>
                <w:rFonts w:ascii="Times New Roman" w:hAnsi="Times New Roman" w:eastAsia="仿宋" w:cs="Times New Roman"/>
                <w:spacing w:val="-2"/>
                <w:sz w:val="24"/>
                <w:szCs w:val="24"/>
              </w:rPr>
              <w:t>维护社会治安秩序，依法打击造谣惑众和盗窃、哄抢防汛抗旱物资以及破坏防汛抗旱设施违法犯罪活动，协助有关部门妥善处置因水旱灾害引发的群体性治安事件，协助地方政府从危险区安全</w:t>
            </w:r>
            <w:r>
              <w:rPr>
                <w:rFonts w:ascii="Times New Roman" w:hAnsi="Times New Roman" w:eastAsia="仿宋" w:cs="Times New Roman"/>
                <w:sz w:val="24"/>
                <w:szCs w:val="24"/>
              </w:rPr>
              <w:t>撤离或转移群众。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7" w:type="pct"/>
            <w:vMerge w:val="continue"/>
            <w:vAlign w:val="center"/>
          </w:tcPr>
          <w:p>
            <w:pPr>
              <w:adjustRightInd w:val="0"/>
              <w:snapToGrid w:val="0"/>
              <w:jc w:val="center"/>
              <w:rPr>
                <w:rFonts w:ascii="Times New Roman" w:hAnsi="Times New Roman" w:eastAsia="仿宋"/>
                <w:sz w:val="24"/>
                <w:szCs w:val="24"/>
              </w:rPr>
            </w:pPr>
          </w:p>
        </w:tc>
        <w:tc>
          <w:tcPr>
            <w:tcW w:w="972" w:type="pct"/>
            <w:vAlign w:val="center"/>
          </w:tcPr>
          <w:p>
            <w:pPr>
              <w:pStyle w:val="9"/>
              <w:adjustRightInd w:val="0"/>
              <w:snapToGrid w:val="0"/>
              <w:ind w:left="7"/>
              <w:jc w:val="center"/>
              <w:rPr>
                <w:rFonts w:ascii="Times New Roman" w:hAnsi="Times New Roman" w:eastAsia="仿宋" w:cs="Times New Roman"/>
                <w:sz w:val="24"/>
                <w:szCs w:val="24"/>
              </w:rPr>
            </w:pPr>
            <w:r>
              <w:rPr>
                <w:rFonts w:ascii="Times New Roman" w:hAnsi="Times New Roman" w:eastAsia="仿宋" w:cs="Times New Roman"/>
                <w:sz w:val="24"/>
                <w:szCs w:val="24"/>
              </w:rPr>
              <w:t>县文化和旅游局</w:t>
            </w:r>
          </w:p>
        </w:tc>
        <w:tc>
          <w:tcPr>
            <w:tcW w:w="3741" w:type="pct"/>
          </w:tcPr>
          <w:p>
            <w:pPr>
              <w:pStyle w:val="9"/>
              <w:adjustRightInd w:val="0"/>
              <w:snapToGrid w:val="0"/>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指导旅游景区主管部门做好全县旅游景区防汛抗旱应对工作；根据汛情和县防指指令，配合旅游景区主管部门做好景区开放与关闭工作；发生险情时，组织、指导、监督旅游景区人员撤离和疏散，参与旅游景区防汛抗旱抢险救灾工作；发生旱情时，指导景区主管部门做好文化旅游景区的应急供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7" w:type="pct"/>
            <w:vMerge w:val="continue"/>
            <w:vAlign w:val="center"/>
          </w:tcPr>
          <w:p>
            <w:pPr>
              <w:adjustRightInd w:val="0"/>
              <w:snapToGrid w:val="0"/>
              <w:jc w:val="center"/>
              <w:rPr>
                <w:rFonts w:ascii="Times New Roman" w:hAnsi="Times New Roman" w:eastAsia="仿宋"/>
                <w:sz w:val="24"/>
                <w:szCs w:val="24"/>
              </w:rPr>
            </w:pPr>
          </w:p>
        </w:tc>
        <w:tc>
          <w:tcPr>
            <w:tcW w:w="972" w:type="pct"/>
            <w:vAlign w:val="center"/>
          </w:tcPr>
          <w:p>
            <w:pPr>
              <w:pStyle w:val="9"/>
              <w:adjustRightInd w:val="0"/>
              <w:snapToGrid w:val="0"/>
              <w:ind w:left="7"/>
              <w:jc w:val="center"/>
              <w:rPr>
                <w:rFonts w:ascii="Times New Roman" w:hAnsi="Times New Roman" w:eastAsia="仿宋" w:cs="Times New Roman"/>
                <w:sz w:val="24"/>
                <w:szCs w:val="24"/>
              </w:rPr>
            </w:pPr>
            <w:r>
              <w:rPr>
                <w:rFonts w:ascii="Times New Roman" w:hAnsi="Times New Roman" w:eastAsia="仿宋" w:cs="Times New Roman"/>
                <w:sz w:val="24"/>
                <w:szCs w:val="24"/>
              </w:rPr>
              <w:t>县卫生健康局</w:t>
            </w:r>
          </w:p>
        </w:tc>
        <w:tc>
          <w:tcPr>
            <w:tcW w:w="3741" w:type="pct"/>
          </w:tcPr>
          <w:p>
            <w:pPr>
              <w:pStyle w:val="9"/>
              <w:adjustRightInd w:val="0"/>
              <w:snapToGrid w:val="0"/>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负责统一调配医疗卫生资源，组织开展水旱灾害地区伤病员医疗救治，承担卫生防疫和突发公共卫生事件的应对工作。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7" w:type="pct"/>
            <w:vMerge w:val="continue"/>
            <w:vAlign w:val="center"/>
          </w:tcPr>
          <w:p>
            <w:pPr>
              <w:adjustRightInd w:val="0"/>
              <w:snapToGrid w:val="0"/>
              <w:jc w:val="center"/>
              <w:rPr>
                <w:rFonts w:ascii="Times New Roman" w:hAnsi="Times New Roman" w:eastAsia="仿宋"/>
                <w:sz w:val="24"/>
                <w:szCs w:val="24"/>
              </w:rPr>
            </w:pPr>
          </w:p>
        </w:tc>
        <w:tc>
          <w:tcPr>
            <w:tcW w:w="972" w:type="pct"/>
            <w:vAlign w:val="center"/>
          </w:tcPr>
          <w:p>
            <w:pPr>
              <w:pStyle w:val="9"/>
              <w:adjustRightInd w:val="0"/>
              <w:snapToGrid w:val="0"/>
              <w:ind w:left="7"/>
              <w:jc w:val="center"/>
              <w:rPr>
                <w:rFonts w:ascii="Times New Roman" w:hAnsi="Times New Roman" w:eastAsia="仿宋" w:cs="Times New Roman"/>
                <w:sz w:val="24"/>
                <w:szCs w:val="24"/>
              </w:rPr>
            </w:pPr>
            <w:r>
              <w:rPr>
                <w:rFonts w:ascii="Times New Roman" w:hAnsi="Times New Roman" w:eastAsia="仿宋" w:cs="Times New Roman"/>
                <w:sz w:val="24"/>
                <w:szCs w:val="24"/>
              </w:rPr>
              <w:t>县应急管理局</w:t>
            </w:r>
          </w:p>
        </w:tc>
        <w:tc>
          <w:tcPr>
            <w:tcW w:w="3741" w:type="pct"/>
          </w:tcPr>
          <w:p>
            <w:pPr>
              <w:pStyle w:val="9"/>
              <w:adjustRightInd w:val="0"/>
              <w:snapToGrid w:val="0"/>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负责综合指导协调各乡镇和相关部门的水旱灾害防治工作，组织重大、特别重大水旱灾害的抢险救灾工作，指导有关地方提前落实抢险队伍、预置抢险物资，视情开展巡查值守，做好抢险救灾和人员转移准备工作，负责灾害调查统计评估和灾害救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7" w:type="pct"/>
            <w:vMerge w:val="continue"/>
            <w:vAlign w:val="center"/>
          </w:tcPr>
          <w:p>
            <w:pPr>
              <w:adjustRightInd w:val="0"/>
              <w:snapToGrid w:val="0"/>
              <w:jc w:val="center"/>
              <w:rPr>
                <w:rFonts w:ascii="Times New Roman" w:hAnsi="Times New Roman" w:eastAsia="仿宋"/>
                <w:sz w:val="24"/>
                <w:szCs w:val="24"/>
              </w:rPr>
            </w:pPr>
          </w:p>
        </w:tc>
        <w:tc>
          <w:tcPr>
            <w:tcW w:w="972" w:type="pct"/>
            <w:vAlign w:val="center"/>
          </w:tcPr>
          <w:p>
            <w:pPr>
              <w:pStyle w:val="9"/>
              <w:adjustRightInd w:val="0"/>
              <w:snapToGrid w:val="0"/>
              <w:ind w:left="7"/>
              <w:jc w:val="center"/>
              <w:rPr>
                <w:rFonts w:ascii="Times New Roman" w:hAnsi="Times New Roman" w:eastAsia="仿宋" w:cs="Times New Roman"/>
                <w:sz w:val="24"/>
                <w:szCs w:val="24"/>
              </w:rPr>
            </w:pPr>
            <w:r>
              <w:rPr>
                <w:rFonts w:ascii="Times New Roman" w:hAnsi="Times New Roman" w:eastAsia="仿宋" w:cs="Times New Roman"/>
                <w:sz w:val="24"/>
                <w:szCs w:val="24"/>
              </w:rPr>
              <w:t>县融媒体中心</w:t>
            </w:r>
          </w:p>
        </w:tc>
        <w:tc>
          <w:tcPr>
            <w:tcW w:w="3741" w:type="pct"/>
          </w:tcPr>
          <w:p>
            <w:pPr>
              <w:pStyle w:val="9"/>
              <w:adjustRightInd w:val="0"/>
              <w:snapToGrid w:val="0"/>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指导、协调做好防汛抗旱抢险救灾宣传报道工作。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7" w:type="pct"/>
            <w:vMerge w:val="continue"/>
            <w:vAlign w:val="center"/>
          </w:tcPr>
          <w:p>
            <w:pPr>
              <w:adjustRightInd w:val="0"/>
              <w:snapToGrid w:val="0"/>
              <w:jc w:val="center"/>
              <w:rPr>
                <w:rFonts w:ascii="Times New Roman" w:hAnsi="Times New Roman" w:eastAsia="仿宋"/>
                <w:sz w:val="24"/>
                <w:szCs w:val="24"/>
              </w:rPr>
            </w:pPr>
          </w:p>
        </w:tc>
        <w:tc>
          <w:tcPr>
            <w:tcW w:w="972" w:type="pct"/>
            <w:vAlign w:val="center"/>
          </w:tcPr>
          <w:p>
            <w:pPr>
              <w:pStyle w:val="9"/>
              <w:adjustRightInd w:val="0"/>
              <w:snapToGrid w:val="0"/>
              <w:ind w:left="7"/>
              <w:jc w:val="center"/>
              <w:rPr>
                <w:rFonts w:ascii="Times New Roman" w:hAnsi="Times New Roman" w:eastAsia="仿宋" w:cs="Times New Roman"/>
                <w:sz w:val="24"/>
                <w:szCs w:val="24"/>
              </w:rPr>
            </w:pPr>
            <w:r>
              <w:rPr>
                <w:rFonts w:ascii="Times New Roman" w:hAnsi="Times New Roman" w:eastAsia="仿宋" w:cs="Times New Roman"/>
                <w:sz w:val="24"/>
                <w:szCs w:val="24"/>
              </w:rPr>
              <w:t>县气象局</w:t>
            </w:r>
          </w:p>
        </w:tc>
        <w:tc>
          <w:tcPr>
            <w:tcW w:w="3741" w:type="pct"/>
          </w:tcPr>
          <w:p>
            <w:pPr>
              <w:pStyle w:val="9"/>
              <w:adjustRightInd w:val="0"/>
              <w:snapToGrid w:val="0"/>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负责气候监测和预测预报工作，从气象角度对汛情、旱情形势作出分析和预测；汛期和受旱期及时对重要天气形势和灾害性天气作出滚动预报，并向县防指及有关成员单位提供气象信息；组织开展人工增雨作业。</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3ZWU5YWQyOThlM2FhMWE4MzRmOTI0ZjE1NDBkNzcifQ=="/>
  </w:docVars>
  <w:rsids>
    <w:rsidRoot w:val="00000000"/>
    <w:rsid w:val="36253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spacing w:after="0" w:line="600" w:lineRule="exact"/>
      <w:ind w:firstLine="420" w:firstLineChars="200"/>
    </w:pPr>
    <w:rPr>
      <w:rFonts w:ascii="Calibri" w:hAnsi="Calibri" w:eastAsia="仿宋_GB2312"/>
      <w:sz w:val="32"/>
      <w:szCs w:val="32"/>
    </w:rPr>
  </w:style>
  <w:style w:type="paragraph" w:styleId="3">
    <w:name w:val="Body Text Indent"/>
    <w:basedOn w:val="1"/>
    <w:qFormat/>
    <w:uiPriority w:val="0"/>
    <w:pPr>
      <w:spacing w:after="120"/>
      <w:ind w:left="420" w:leftChars="200"/>
    </w:pPr>
  </w:style>
  <w:style w:type="paragraph" w:styleId="4">
    <w:name w:val="footer"/>
    <w:basedOn w:val="1"/>
    <w:unhideWhenUsed/>
    <w:qFormat/>
    <w:uiPriority w:val="0"/>
    <w:pPr>
      <w:tabs>
        <w:tab w:val="center" w:pos="4153"/>
        <w:tab w:val="right" w:pos="8306"/>
      </w:tabs>
      <w:snapToGrid w:val="0"/>
      <w:jc w:val="left"/>
    </w:pPr>
    <w:rPr>
      <w:sz w:val="18"/>
      <w:szCs w:val="18"/>
    </w:rPr>
  </w:style>
  <w:style w:type="paragraph" w:styleId="5">
    <w:name w:val="Normal (Web)"/>
    <w:basedOn w:val="1"/>
    <w:next w:val="1"/>
    <w:qFormat/>
    <w:uiPriority w:val="0"/>
    <w:pPr>
      <w:spacing w:before="100" w:beforeAutospacing="1" w:after="100" w:afterAutospacing="1"/>
      <w:jc w:val="left"/>
    </w:pPr>
    <w:rPr>
      <w:kern w:val="0"/>
      <w:sz w:val="24"/>
    </w:rPr>
  </w:style>
  <w:style w:type="paragraph" w:customStyle="1" w:styleId="8">
    <w:name w:val="正文首行缩进 21"/>
    <w:basedOn w:val="1"/>
    <w:next w:val="5"/>
    <w:qFormat/>
    <w:uiPriority w:val="0"/>
    <w:pPr>
      <w:widowControl/>
      <w:ind w:left="200" w:leftChars="200" w:firstLine="200" w:firstLineChars="200"/>
      <w:jc w:val="left"/>
    </w:pPr>
    <w:rPr>
      <w:rFonts w:eastAsia="仿宋_GB2312" w:cs="Calibri"/>
      <w:kern w:val="0"/>
      <w:sz w:val="24"/>
    </w:rPr>
  </w:style>
  <w:style w:type="paragraph" w:customStyle="1" w:styleId="9">
    <w:name w:val="Table Paragraph"/>
    <w:basedOn w:val="1"/>
    <w:qFormat/>
    <w:uiPriority w:val="1"/>
    <w:rPr>
      <w:rFonts w:ascii="宋体" w:hAnsi="宋体" w:cs="宋体"/>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2023-09-08T00:56:39Z</dcterms:created>
  <dc:creator>Administrator</dc:creator>
  <cp:lastModifiedBy>超越自我</cp:lastModifiedBy>
  <dcterms:modified xsi:type="dcterms:W3CDTF">2023-09-08T00:56:57Z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8A37B59FD7644325B27A3C5D6B80EA9D_12</vt:lpwstr>
  </property>
</Properties>
</file>