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  <w:t>附件3</w:t>
      </w:r>
    </w:p>
    <w:p>
      <w:pPr>
        <w:pStyle w:val="5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石楼县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辐射事故分级标准、响应条件及应急措施表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516"/>
        <w:gridCol w:w="2806"/>
        <w:gridCol w:w="2819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9" w:type="dxa"/>
            <w:shd w:val="clear" w:color="auto" w:fill="auto"/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特别重大辐射事故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重大辐射事故</w:t>
            </w:r>
          </w:p>
        </w:tc>
        <w:tc>
          <w:tcPr>
            <w:tcW w:w="2819" w:type="dxa"/>
            <w:shd w:val="clear" w:color="auto" w:fill="auto"/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较大辐射事故</w:t>
            </w:r>
          </w:p>
        </w:tc>
        <w:tc>
          <w:tcPr>
            <w:tcW w:w="3216" w:type="dxa"/>
            <w:shd w:val="clear" w:color="auto" w:fill="auto"/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一般辐射事故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shd w:val="clear" w:color="auto" w:fill="auto"/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分级</w:t>
            </w:r>
          </w:p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标准</w:t>
            </w:r>
          </w:p>
        </w:tc>
        <w:tc>
          <w:tcPr>
            <w:tcW w:w="3516" w:type="dxa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凡符合下列情形之一的，为特别重大辐射事故：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（1）I、II类放射源丢失、被盗、失控并造成大范围严重辐射污染后果；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（2）放射性同位素和射线装置失控导致3人及以上急性死亡；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（3）放射性物质泄漏，造成大范围辐射污染后果；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（4）国内外航天器在我</w:t>
            </w:r>
            <w:r>
              <w:rPr>
                <w:rFonts w:hint="eastAsia" w:asci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行政区域内坠落造成的环境放射性污染事件，以及可能对我</w:t>
            </w:r>
            <w:r>
              <w:rPr>
                <w:rFonts w:hint="eastAsia" w:asci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环境造成辐射影响的</w:t>
            </w:r>
            <w:r>
              <w:rPr>
                <w:rFonts w:hint="eastAsia" w:asci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域外核与辐射事故、事件。</w:t>
            </w:r>
          </w:p>
        </w:tc>
        <w:tc>
          <w:tcPr>
            <w:tcW w:w="2806" w:type="dxa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凡符合下列情形之一的，为重大辐射事故：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（1）I、II类放射源丢失、被盗、失控；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（2）放射性同位素和射线装置失控导致3人以下急性死亡或者10人及以上急性重度放射病、局部器官残疾；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（3）放射性物质泄漏，造成较大范围辐射污染后果。</w:t>
            </w:r>
          </w:p>
        </w:tc>
        <w:tc>
          <w:tcPr>
            <w:tcW w:w="2819" w:type="dxa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 xml:space="preserve">凡符合下列情形之一的，为较大 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辐射事故：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（1）III类放射源丢失、被盗、失控；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（2）放射性同位素和射线装置失控导致10人以下急性重度放射病、局部器官残疾；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（3）放射性物质泄漏，造成小范围辐射污染后果。</w:t>
            </w:r>
          </w:p>
        </w:tc>
        <w:tc>
          <w:tcPr>
            <w:tcW w:w="3216" w:type="dxa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凡符合下列情形之一的，为一般辐射事故：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（1）IV、V类放射源丢失、被盗、失控；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（2）放射性同位素和射线装置失控导致人员受到超过年剂量限值的照射；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（3）放射性物质泄漏，造成局部辐射污染后果；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（4）伴生放射性矿开发利用超标排放，造成环境辐射污染后果；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（5）测井用放射源落井，打捞不成功进行封井处理。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shd w:val="clear" w:color="auto" w:fill="auto"/>
            <w:vAlign w:val="center"/>
          </w:tcPr>
          <w:p>
            <w:pPr>
              <w:pStyle w:val="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响应条件及应急措施</w:t>
            </w:r>
          </w:p>
        </w:tc>
        <w:tc>
          <w:tcPr>
            <w:tcW w:w="3516" w:type="dxa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初判发生特别重大辐射事故，启动一级响应。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应急响应：详见4.3.4。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应急措施：详见4.4。</w:t>
            </w:r>
          </w:p>
        </w:tc>
        <w:tc>
          <w:tcPr>
            <w:tcW w:w="2806" w:type="dxa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初判发生重大辐射事故时，启动二级响应。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应急响应：详见4.3.3。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应急措施：详见4.4。</w:t>
            </w:r>
          </w:p>
        </w:tc>
        <w:tc>
          <w:tcPr>
            <w:tcW w:w="2819" w:type="dxa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初判发生较大辐射事故时，启动三级响应。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应急响应：详见4.3.2。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应急措施：详见4.4。</w:t>
            </w:r>
          </w:p>
        </w:tc>
        <w:tc>
          <w:tcPr>
            <w:tcW w:w="3216" w:type="dxa"/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初判发生一般辐射事故时，启动四级响应。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应急响应：详见4.3.1。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应急措施：详见4.4。</w:t>
            </w: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auto"/>
          <w:kern w:val="0"/>
          <w:sz w:val="24"/>
          <w:szCs w:val="24"/>
          <w:lang w:bidi="ar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bidi="ar"/>
        </w:rPr>
        <w:t>注：上述有关数量的表述中，“以上”含本数，“以下”不含本数。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U5YWQyOThlM2FhMWE4MzRmOTI0ZjE1NDBkNzcifQ=="/>
  </w:docVars>
  <w:rsids>
    <w:rsidRoot w:val="00000000"/>
    <w:rsid w:val="168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 四号"/>
    <w:basedOn w:val="1"/>
    <w:qFormat/>
    <w:uiPriority w:val="0"/>
    <w:pPr>
      <w:ind w:firstLine="200" w:firstLineChars="200"/>
    </w:pPr>
    <w:rPr>
      <w:rFonts w:eastAsia="仿宋_GB2312" w:cs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2023-06-13T01:42:09Z</dcterms:created>
  <dc:creator>Administrator</dc:creator>
  <cp:lastModifiedBy>超越自我</cp:lastModifiedBy>
  <dcterms:modified xsi:type="dcterms:W3CDTF">2023-06-13T01:43:15Z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1F818F78A7AD46158998815F8503A0A2_13</vt:lpwstr>
  </property>
</Properties>
</file>