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firstLine="0" w:firstLineChars="0"/>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p>
    <w:p>
      <w:pPr>
        <w:pStyle w:val="2"/>
        <w:spacing w:beforeLines="0" w:after="0" w:line="600" w:lineRule="exact"/>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firstLine="0" w:firstLineChars="0"/>
        <w:jc w:val="center"/>
        <w:textAlignment w:val="auto"/>
        <w:rPr>
          <w:rFonts w:hint="eastAsia" w:ascii="方正小标宋简体" w:hAnsi="方正小标宋简体" w:eastAsia="方正小标宋简体" w:cs="方正小标宋简体"/>
          <w:sz w:val="40"/>
          <w:szCs w:val="40"/>
          <w:highlight w:val="none"/>
          <w:lang w:val="en-US" w:eastAsia="zh-CN"/>
        </w:rPr>
      </w:pPr>
      <w:r>
        <w:rPr>
          <w:rFonts w:hint="eastAsia" w:ascii="方正小标宋简体" w:hAnsi="方正小标宋简体" w:eastAsia="方正小标宋简体" w:cs="方正小标宋简体"/>
          <w:sz w:val="40"/>
          <w:szCs w:val="40"/>
          <w:highlight w:val="none"/>
          <w:lang w:val="en-US" w:eastAsia="zh-CN"/>
        </w:rPr>
        <w:t>关于加快山西省革命老区振兴发展的实施意见</w:t>
      </w:r>
    </w:p>
    <w:p>
      <w:pPr>
        <w:pStyle w:val="17"/>
        <w:keepNext w:val="0"/>
        <w:keepLines w:val="0"/>
        <w:pageBreakBefore w:val="0"/>
        <w:widowControl w:val="0"/>
        <w:kinsoku/>
        <w:wordWrap/>
        <w:overflowPunct/>
        <w:topLinePunct w:val="0"/>
        <w:autoSpaceDE/>
        <w:autoSpaceDN/>
        <w:bidi w:val="0"/>
        <w:adjustRightInd/>
        <w:snapToGrid w:val="0"/>
        <w:spacing w:beforeLines="0" w:afterLines="0" w:line="600" w:lineRule="exact"/>
        <w:ind w:left="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w:t>
      </w:r>
      <w:r>
        <w:rPr>
          <w:rFonts w:hint="eastAsia" w:hAnsi="楷体_GB2312" w:cs="楷体_GB2312"/>
          <w:sz w:val="32"/>
          <w:szCs w:val="32"/>
          <w:highlight w:val="none"/>
          <w:lang w:val="en-US" w:eastAsia="zh-CN"/>
        </w:rPr>
        <w:t>征求意见稿</w:t>
      </w:r>
      <w:r>
        <w:rPr>
          <w:rFonts w:hint="eastAsia" w:ascii="楷体_GB2312" w:hAnsi="楷体_GB2312" w:eastAsia="楷体_GB2312" w:cs="楷体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firstLine="0" w:firstLineChars="0"/>
        <w:jc w:val="both"/>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为贯彻落实中共中央办公厅、国务院办公厅《关于加快革命老区振兴发展的意见》（中办发〔2026〕14号，以下简称《意见》），</w:t>
      </w:r>
      <w:r>
        <w:rPr>
          <w:rFonts w:hint="eastAsia" w:ascii="仿宋_GB2312" w:hAnsi="仿宋_GB2312" w:eastAsia="仿宋_GB2312" w:cs="仿宋_GB2312"/>
          <w:sz w:val="32"/>
          <w:szCs w:val="32"/>
          <w:highlight w:val="none"/>
          <w:lang w:val="en-US" w:eastAsia="zh-CN"/>
        </w:rPr>
        <w:t>加力支持山西省革命老区加快振兴发展</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highlight w:val="none"/>
          <w:lang w:val="en-US" w:eastAsia="zh-CN"/>
        </w:rPr>
        <w:t>现提出如下实施意见。</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firstLine="640" w:firstLineChars="200"/>
        <w:jc w:val="both"/>
        <w:textAlignment w:val="auto"/>
        <w:outlineLvl w:val="0"/>
        <w:rPr>
          <w:rFonts w:hint="default" w:ascii="仿宋_GB2312" w:hAnsi="仿宋_GB2312" w:eastAsia="仿宋_GB2312" w:cs="仿宋_GB2312"/>
          <w:sz w:val="32"/>
          <w:szCs w:val="32"/>
          <w:highlight w:val="none"/>
          <w:lang w:val="en-US" w:eastAsia="zh-CN"/>
        </w:rPr>
      </w:pPr>
      <w:r>
        <w:rPr>
          <w:rFonts w:hint="eastAsia" w:ascii="黑体" w:hAnsi="黑体" w:eastAsia="黑体" w:cs="黑体"/>
          <w:kern w:val="2"/>
          <w:sz w:val="32"/>
          <w:szCs w:val="32"/>
          <w:highlight w:val="none"/>
          <w:lang w:val="en-US" w:eastAsia="zh-CN" w:bidi="ar-SA"/>
        </w:rPr>
        <w:t>一、</w:t>
      </w:r>
      <w:r>
        <w:rPr>
          <w:rFonts w:hint="eastAsia" w:ascii="黑体" w:hAnsi="黑体" w:eastAsia="黑体" w:cs="黑体"/>
          <w:sz w:val="32"/>
          <w:szCs w:val="32"/>
          <w:highlight w:val="none"/>
          <w:lang w:val="en-US" w:eastAsia="zh-CN"/>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坚持以习近平新时代中国特色社会主义思想为指导，深入贯彻党的二十大和二十届历次全会精神</w:t>
      </w:r>
      <w:r>
        <w:rPr>
          <w:rFonts w:hint="eastAsia" w:ascii="仿宋_GB2312" w:hAnsi="仿宋_GB2312" w:eastAsia="仿宋_GB2312" w:cs="仿宋_GB2312"/>
          <w:color w:val="auto"/>
          <w:sz w:val="32"/>
          <w:szCs w:val="32"/>
          <w:highlight w:val="none"/>
          <w:lang w:val="en-US" w:eastAsia="zh-CN"/>
        </w:rPr>
        <w:t>，认真贯彻习近平总书记对山西工作的重要讲话重要指示精神，按照省委十二届十次、十一次全会部署，</w:t>
      </w:r>
      <w:r>
        <w:rPr>
          <w:rFonts w:hint="eastAsia" w:ascii="仿宋_GB2312" w:hAnsi="仿宋_GB2312" w:eastAsia="仿宋_GB2312" w:cs="仿宋_GB2312"/>
          <w:sz w:val="32"/>
          <w:szCs w:val="32"/>
          <w:highlight w:val="none"/>
          <w:lang w:val="en-US" w:eastAsia="zh-CN"/>
        </w:rPr>
        <w:t>锚定到2035年同全国一道基本实现社会主义现代化目标，</w:t>
      </w:r>
      <w:r>
        <w:rPr>
          <w:rFonts w:hint="eastAsia" w:ascii="仿宋_GB2312" w:hAnsi="仿宋_GB2312" w:eastAsia="仿宋_GB2312" w:cs="仿宋_GB2312"/>
          <w:color w:val="auto"/>
          <w:sz w:val="32"/>
          <w:szCs w:val="32"/>
          <w:highlight w:val="none"/>
          <w:lang w:val="en-US" w:eastAsia="zh-CN"/>
        </w:rPr>
        <w:t>全面完成《意见》涉及山西的目标任务，着力把资源优势更好转化为发展优势，推动红色资源焕发新活力、释放新动能，确保革命老区人民共享改革发展成果，过上幸福生活</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0"/>
        <w:rPr>
          <w:rFonts w:hint="eastAsia" w:ascii="楷体" w:hAnsi="楷体" w:eastAsia="楷体" w:cs="楷体"/>
          <w:b w:val="0"/>
          <w:color w:val="auto"/>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二、因地制宜发展特色优势产业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0"/>
        <w:rPr>
          <w:rFonts w:hint="eastAsia" w:ascii="楷体" w:hAnsi="楷体" w:eastAsia="楷体" w:cs="楷体"/>
          <w:b w:val="0"/>
          <w:bCs w:val="0"/>
          <w:color w:val="auto"/>
          <w:kern w:val="0"/>
          <w:sz w:val="32"/>
          <w:szCs w:val="32"/>
          <w:highlight w:val="none"/>
          <w:lang w:val="en-US" w:eastAsia="zh-CN" w:bidi="ar"/>
        </w:rPr>
      </w:pPr>
      <w:r>
        <w:rPr>
          <w:rFonts w:hint="eastAsia" w:ascii="楷体" w:hAnsi="楷体" w:eastAsia="楷体" w:cs="楷体"/>
          <w:b w:val="0"/>
          <w:color w:val="auto"/>
          <w:kern w:val="2"/>
          <w:sz w:val="32"/>
          <w:szCs w:val="32"/>
          <w:highlight w:val="none"/>
          <w:lang w:val="en-US" w:eastAsia="zh-CN" w:bidi="ar-SA"/>
        </w:rPr>
        <w:t>（一）</w:t>
      </w:r>
      <w:bookmarkStart w:id="0" w:name="OLE_LINK2"/>
      <w:r>
        <w:rPr>
          <w:rFonts w:hint="eastAsia" w:ascii="楷体" w:hAnsi="楷体" w:eastAsia="楷体" w:cs="楷体"/>
          <w:b w:val="0"/>
          <w:color w:val="auto"/>
          <w:kern w:val="2"/>
          <w:sz w:val="32"/>
          <w:szCs w:val="32"/>
          <w:highlight w:val="none"/>
          <w:lang w:val="en-US" w:eastAsia="zh-CN" w:bidi="ar-SA"/>
        </w:rPr>
        <w:t>推进特优农业提质增效。</w:t>
      </w:r>
      <w:r>
        <w:rPr>
          <w:rFonts w:hint="eastAsia" w:ascii="仿宋_GB2312" w:hAnsi="仿宋_GB2312" w:eastAsia="仿宋_GB2312" w:cs="仿宋_GB2312"/>
          <w:b w:val="0"/>
          <w:color w:val="auto"/>
          <w:kern w:val="2"/>
          <w:sz w:val="32"/>
          <w:szCs w:val="32"/>
          <w:highlight w:val="none"/>
          <w:lang w:val="en-US" w:eastAsia="zh-CN" w:bidi="ar-SA"/>
        </w:rPr>
        <w:t>推进特优农业和有机旱作生产基地建设，因地制宜发展特色种植、养殖和林下经济，在太行山、吕梁山和晋北地区布局杂粮生产基地。发展壮大旱作高粱、晋南苹果、道地中药材、山西谷子、雁门羊肉、冷凉蔬菜、阳泉硒品等国家优势特色产业集群，促进沁州黄小米、潞党参、红枣、食用菌等特色产业加快发展。支持革命老区建设现代农业产业园，培育农业产业强镇、强村。深化“南果中粮北肉东药材西干果”五大平台等载体建设，</w:t>
      </w:r>
      <w:r>
        <w:rPr>
          <w:rFonts w:hint="eastAsia" w:ascii="仿宋_GB2312" w:hAnsi="仿宋_GB2312" w:eastAsia="仿宋_GB2312" w:cs="仿宋_GB2312"/>
          <w:b w:val="0"/>
          <w:bCs w:val="0"/>
          <w:color w:val="auto"/>
          <w:kern w:val="0"/>
          <w:sz w:val="32"/>
          <w:szCs w:val="32"/>
          <w:highlight w:val="none"/>
          <w:lang w:val="en-US" w:eastAsia="zh-CN" w:bidi="ar"/>
        </w:rPr>
        <w:t>深入实施“数商兴农”，提升农产品加工、仓储保鲜等能力，健全农村寄递物流体系，赋能农村电商高质量发展。</w:t>
      </w:r>
      <w:r>
        <w:rPr>
          <w:rFonts w:hint="eastAsia" w:ascii="仿宋_GB2312" w:hAnsi="仿宋_GB2312" w:eastAsia="仿宋_GB2312" w:cs="仿宋_GB2312"/>
          <w:b w:val="0"/>
          <w:color w:val="auto"/>
          <w:kern w:val="2"/>
          <w:sz w:val="32"/>
          <w:szCs w:val="32"/>
          <w:highlight w:val="none"/>
          <w:lang w:val="en-US" w:eastAsia="zh-CN" w:bidi="ar-SA"/>
        </w:rPr>
        <w:t>推进农产品“三品一标”行动，擦亮“有机旱作·晋品”品牌，培育壮大品牌体系，做强山西“土特产”。</w:t>
      </w:r>
      <w:r>
        <w:rPr>
          <w:rFonts w:hint="eastAsia" w:ascii="仿宋_GB2312" w:hAnsi="仿宋_GB2312" w:eastAsia="仿宋_GB2312" w:cs="仿宋_GB2312"/>
          <w:b w:val="0"/>
          <w:bCs w:val="0"/>
          <w:color w:val="auto"/>
          <w:kern w:val="0"/>
          <w:sz w:val="32"/>
          <w:szCs w:val="32"/>
          <w:highlight w:val="none"/>
          <w:lang w:val="en-US" w:eastAsia="zh-CN" w:bidi="ar"/>
        </w:rPr>
        <w:t>加力实施消费帮扶，强化产销对接，加快长治国家消费帮扶重点产区建设。分层分类培育龙头企业，扶持涉农小微企业发展，支持家庭农场、农民合作社做大做强，健全新型农业经营主体扶持政策带动农户增收挂钩机制。</w:t>
      </w:r>
    </w:p>
    <w:bookmarkEnd w:id="0"/>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firstLine="640" w:firstLineChars="200"/>
        <w:textAlignment w:val="auto"/>
        <w:outlineLvl w:val="9"/>
        <w:rPr>
          <w:rFonts w:hint="eastAsia" w:ascii="仿宋_GB2312" w:hAnsi="仿宋_GB2312" w:eastAsia="仿宋_GB2312" w:cs="仿宋_GB2312"/>
          <w:b w:val="0"/>
          <w:strike w:val="0"/>
          <w:dstrike w:val="0"/>
          <w:color w:val="auto"/>
          <w:kern w:val="2"/>
          <w:sz w:val="32"/>
          <w:szCs w:val="32"/>
          <w:highlight w:val="none"/>
          <w:lang w:val="en-US" w:eastAsia="zh-CN" w:bidi="ar-SA"/>
        </w:rPr>
      </w:pPr>
      <w:r>
        <w:rPr>
          <w:rFonts w:hint="eastAsia" w:ascii="楷体_GB2312" w:hAnsi="楷体_GB2312" w:eastAsia="楷体_GB2312" w:cs="楷体_GB2312"/>
          <w:b w:val="0"/>
          <w:kern w:val="2"/>
          <w:sz w:val="32"/>
          <w:szCs w:val="32"/>
          <w:highlight w:val="none"/>
          <w:lang w:val="en-US" w:eastAsia="zh-CN" w:bidi="ar-SA"/>
        </w:rPr>
        <w:t>（二）加快重点优势产业转型升级</w:t>
      </w:r>
      <w:r>
        <w:rPr>
          <w:rFonts w:hint="eastAsia" w:ascii="楷体_GB2312" w:hAnsi="楷体_GB2312" w:eastAsia="楷体_GB2312" w:cs="楷体_GB2312"/>
          <w:b w:val="0"/>
          <w:strike w:val="0"/>
          <w:dstrike w:val="0"/>
          <w:kern w:val="2"/>
          <w:sz w:val="32"/>
          <w:szCs w:val="32"/>
          <w:highlight w:val="none"/>
          <w:lang w:val="en-US" w:eastAsia="zh-CN" w:bidi="ar-SA"/>
        </w:rPr>
        <w:t>。</w:t>
      </w:r>
      <w:r>
        <w:rPr>
          <w:rFonts w:hint="eastAsia" w:ascii="仿宋_GB2312" w:hAnsi="仿宋_GB2312" w:eastAsia="仿宋_GB2312" w:cs="仿宋_GB2312"/>
          <w:b w:val="0"/>
          <w:strike w:val="0"/>
          <w:dstrike w:val="0"/>
          <w:color w:val="auto"/>
          <w:kern w:val="2"/>
          <w:sz w:val="32"/>
          <w:szCs w:val="32"/>
          <w:highlight w:val="none"/>
          <w:lang w:val="en-US" w:eastAsia="zh-CN" w:bidi="ar-SA"/>
        </w:rPr>
        <w:t>聚焦能源转型、产业升级、适度多元发展，推动能源化工、钢铁有色、建材家居等传统优势产业转型发展，加快新能源、新材料、高端装备制造、低空经济、氢能等新兴产业规模化发展，支持太行革命老区培育发展现代煤化工、航空航天、生物医药、电子信息等战略性新兴产业，推动吕梁、太行等革命老区非常规天然气增储上产，布局发展氢能等未来产业。实施新一轮企业技术改造工程，完善中小企业“选种、育苗、培优”全周期培育体系。实施重点产业链高质量发展行动，推动开发区、专业镇提质增效，塑造“一镇一业”特色优势。在具备条件的革命老区实施“人工智能+”行动，</w:t>
      </w:r>
      <w:r>
        <w:rPr>
          <w:rFonts w:hint="default" w:ascii="Times New Roman" w:hAnsi="Times New Roman" w:eastAsia="仿宋_GB2312" w:cs="Times New Roman"/>
          <w:b w:val="0"/>
          <w:bCs w:val="0"/>
          <w:color w:val="auto"/>
          <w:sz w:val="32"/>
          <w:szCs w:val="32"/>
          <w:highlight w:val="none"/>
          <w:u w:val="none" w:color="auto"/>
          <w:shd w:val="clear" w:color="auto" w:fill="auto"/>
          <w:lang w:val="en-US" w:eastAsia="zh-CN"/>
        </w:rPr>
        <w:t>深化</w:t>
      </w:r>
      <w:r>
        <w:rPr>
          <w:rFonts w:hint="default" w:ascii="Times New Roman" w:hAnsi="Times New Roman" w:eastAsia="仿宋_GB2312" w:cs="Times New Roman"/>
          <w:b w:val="0"/>
          <w:bCs w:val="0"/>
          <w:color w:val="auto"/>
          <w:sz w:val="32"/>
          <w:szCs w:val="32"/>
          <w:highlight w:val="none"/>
          <w:u w:val="none" w:color="auto"/>
          <w:lang w:val="en-US" w:eastAsia="zh-CN"/>
        </w:rPr>
        <w:t>大同国家级数据标注基地建设</w:t>
      </w:r>
      <w:r>
        <w:rPr>
          <w:rFonts w:hint="eastAsia" w:ascii="仿宋_GB2312" w:hAnsi="仿宋_GB2312" w:eastAsia="仿宋_GB2312" w:cs="仿宋_GB2312"/>
          <w:b w:val="0"/>
          <w:strike w:val="0"/>
          <w:dstrike w:val="0"/>
          <w:color w:val="auto"/>
          <w:kern w:val="2"/>
          <w:sz w:val="32"/>
          <w:szCs w:val="32"/>
          <w:highlight w:val="none"/>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firstLine="640" w:firstLineChars="200"/>
        <w:textAlignment w:val="auto"/>
        <w:outlineLvl w:val="9"/>
        <w:rPr>
          <w:rFonts w:hint="default"/>
          <w:lang w:val="en" w:eastAsia="zh-CN"/>
        </w:rPr>
      </w:pPr>
      <w:r>
        <w:rPr>
          <w:rFonts w:hint="eastAsia" w:ascii="楷体" w:hAnsi="楷体" w:eastAsia="楷体" w:cs="楷体"/>
          <w:b w:val="0"/>
          <w:strike w:val="0"/>
          <w:dstrike w:val="0"/>
          <w:color w:val="auto"/>
          <w:kern w:val="2"/>
          <w:sz w:val="32"/>
          <w:szCs w:val="32"/>
          <w:highlight w:val="none"/>
          <w:lang w:val="en-US" w:eastAsia="zh-CN" w:bidi="ar-SA"/>
        </w:rPr>
        <w:t>（三）</w:t>
      </w:r>
      <w:r>
        <w:rPr>
          <w:rFonts w:hint="eastAsia" w:ascii="楷体" w:hAnsi="楷体" w:cs="楷体"/>
          <w:b w:val="0"/>
          <w:strike w:val="0"/>
          <w:dstrike w:val="0"/>
          <w:color w:val="auto"/>
          <w:kern w:val="2"/>
          <w:sz w:val="32"/>
          <w:szCs w:val="32"/>
          <w:highlight w:val="none"/>
          <w:lang w:val="en-US" w:eastAsia="zh-CN" w:bidi="ar-SA"/>
        </w:rPr>
        <w:t>建设红色文化旅游深度融合发展高地</w:t>
      </w:r>
      <w:r>
        <w:rPr>
          <w:rFonts w:hint="eastAsia" w:ascii="楷体" w:hAnsi="楷体" w:eastAsia="楷体" w:cs="楷体"/>
          <w:b w:val="0"/>
          <w:strike w:val="0"/>
          <w:dstrike w:val="0"/>
          <w:color w:val="auto"/>
          <w:kern w:val="2"/>
          <w:sz w:val="32"/>
          <w:szCs w:val="32"/>
          <w:highlight w:val="none"/>
          <w:lang w:val="en-US" w:eastAsia="zh-CN" w:bidi="ar-SA"/>
        </w:rPr>
        <w:t>。</w:t>
      </w:r>
      <w:r>
        <w:rPr>
          <w:rFonts w:hint="eastAsia" w:ascii="仿宋_GB2312" w:hAnsi="仿宋_GB2312" w:eastAsia="仿宋_GB2312" w:cs="仿宋_GB2312"/>
          <w:b w:val="0"/>
          <w:strike w:val="0"/>
          <w:dstrike w:val="0"/>
          <w:color w:val="auto"/>
          <w:kern w:val="2"/>
          <w:sz w:val="32"/>
          <w:szCs w:val="32"/>
          <w:highlight w:val="none"/>
          <w:lang w:val="en-US" w:eastAsia="zh-CN" w:bidi="ar-SA"/>
        </w:rPr>
        <w:t>实施黄河、长城、太行三个一号旅游公路沿线提质增效行动，串联太行山、吕梁山及黄河流域红色资源，推动黄河、长城国家文化公园建设与红色资源保护利用互促共进，聚力打造红军东征、抗日战争主战场重要标识地。全力推进黄崖洞、八路军文化旅游区国家5A级景区创建。鼓励革命老区探索组建跨区域旅游发展联盟等，构建营销联动体系。引导太行、吕梁等革命老区联合西柏坡、红旗渠、宝塔山等标志性节点，共同策划红色旅游跨省精品线路，推行“秦晋之好旅游一卡通”等联票模式。深入</w:t>
      </w:r>
      <w:r>
        <w:rPr>
          <w:rFonts w:hint="eastAsia" w:ascii="仿宋_GB2312" w:hAnsi="仿宋_GB2312" w:eastAsia="仿宋_GB2312" w:cs="仿宋_GB2312"/>
          <w:b w:val="0"/>
          <w:strike w:val="0"/>
          <w:dstrike w:val="0"/>
          <w:color w:val="auto"/>
          <w:kern w:val="2"/>
          <w:sz w:val="32"/>
          <w:szCs w:val="32"/>
          <w:highlight w:val="none"/>
          <w:lang w:val="en" w:eastAsia="zh-CN" w:bidi="ar-SA"/>
        </w:rPr>
        <w:t>实施红色旅游讲解提升工程</w:t>
      </w:r>
      <w:r>
        <w:rPr>
          <w:rFonts w:hint="default" w:ascii="仿宋_GB2312" w:hAnsi="仿宋_GB2312" w:eastAsia="仿宋_GB2312" w:cs="仿宋_GB2312"/>
          <w:b w:val="0"/>
          <w:strike w:val="0"/>
          <w:dstrike w:val="0"/>
          <w:color w:val="auto"/>
          <w:kern w:val="2"/>
          <w:sz w:val="32"/>
          <w:szCs w:val="32"/>
          <w:highlight w:val="none"/>
          <w:lang w:val="en" w:eastAsia="zh-CN" w:bidi="ar-SA"/>
        </w:rPr>
        <w:t>。</w:t>
      </w:r>
      <w:r>
        <w:rPr>
          <w:rFonts w:hint="eastAsia" w:ascii="仿宋_GB2312" w:hAnsi="仿宋_GB2312" w:eastAsia="仿宋_GB2312" w:cs="仿宋_GB2312"/>
          <w:b w:val="0"/>
          <w:strike w:val="0"/>
          <w:dstrike w:val="0"/>
          <w:color w:val="auto"/>
          <w:kern w:val="2"/>
          <w:sz w:val="32"/>
          <w:szCs w:val="32"/>
          <w:highlight w:val="none"/>
          <w:lang w:val="en" w:eastAsia="zh-CN" w:bidi="ar-SA"/>
        </w:rPr>
        <w:t>鼓励革命老区加快培育新型文化企业，</w:t>
      </w:r>
      <w:r>
        <w:rPr>
          <w:rFonts w:hint="default" w:ascii="仿宋_GB2312" w:hAnsi="仿宋_GB2312" w:eastAsia="仿宋_GB2312" w:cs="仿宋_GB2312"/>
          <w:b w:val="0"/>
          <w:strike w:val="0"/>
          <w:dstrike w:val="0"/>
          <w:color w:val="auto"/>
          <w:kern w:val="2"/>
          <w:sz w:val="32"/>
          <w:szCs w:val="32"/>
          <w:highlight w:val="none"/>
          <w:lang w:val="en" w:eastAsia="zh-CN" w:bidi="ar-SA"/>
        </w:rPr>
        <w:t>深化</w:t>
      </w:r>
      <w:r>
        <w:rPr>
          <w:rFonts w:hint="eastAsia" w:ascii="仿宋_GB2312" w:hAnsi="仿宋_GB2312" w:eastAsia="仿宋_GB2312" w:cs="仿宋_GB2312"/>
          <w:b w:val="0"/>
          <w:strike w:val="0"/>
          <w:dstrike w:val="0"/>
          <w:color w:val="auto"/>
          <w:kern w:val="2"/>
          <w:sz w:val="32"/>
          <w:szCs w:val="32"/>
          <w:highlight w:val="none"/>
          <w:lang w:val="en" w:eastAsia="zh-CN" w:bidi="ar-SA"/>
        </w:rPr>
        <w:t>文旅与体育、</w:t>
      </w:r>
      <w:r>
        <w:rPr>
          <w:rFonts w:hint="default" w:ascii="仿宋_GB2312" w:hAnsi="仿宋_GB2312" w:eastAsia="仿宋_GB2312" w:cs="仿宋_GB2312"/>
          <w:b w:val="0"/>
          <w:strike w:val="0"/>
          <w:dstrike w:val="0"/>
          <w:color w:val="auto"/>
          <w:kern w:val="2"/>
          <w:sz w:val="32"/>
          <w:szCs w:val="32"/>
          <w:highlight w:val="none"/>
          <w:lang w:val="en" w:eastAsia="zh-CN" w:bidi="ar-SA"/>
        </w:rPr>
        <w:t>产业</w:t>
      </w:r>
      <w:r>
        <w:rPr>
          <w:rFonts w:hint="eastAsia" w:ascii="仿宋_GB2312" w:hAnsi="仿宋_GB2312" w:eastAsia="仿宋_GB2312" w:cs="仿宋_GB2312"/>
          <w:b w:val="0"/>
          <w:strike w:val="0"/>
          <w:dstrike w:val="0"/>
          <w:color w:val="auto"/>
          <w:kern w:val="2"/>
          <w:sz w:val="32"/>
          <w:szCs w:val="32"/>
          <w:highlight w:val="none"/>
          <w:lang w:val="en" w:eastAsia="zh-CN" w:bidi="ar-SA"/>
        </w:rPr>
        <w:t>、展览等</w:t>
      </w:r>
      <w:r>
        <w:rPr>
          <w:rFonts w:hint="default" w:ascii="仿宋_GB2312" w:hAnsi="仿宋_GB2312" w:eastAsia="仿宋_GB2312" w:cs="仿宋_GB2312"/>
          <w:b w:val="0"/>
          <w:strike w:val="0"/>
          <w:dstrike w:val="0"/>
          <w:color w:val="auto"/>
          <w:kern w:val="2"/>
          <w:sz w:val="32"/>
          <w:szCs w:val="32"/>
          <w:highlight w:val="none"/>
          <w:lang w:val="en" w:eastAsia="zh-CN" w:bidi="ar-SA"/>
        </w:rPr>
        <w:t>融合，推动“环三晋”自行车联赛等现代精品赛事与</w:t>
      </w:r>
      <w:r>
        <w:rPr>
          <w:rFonts w:hint="eastAsia" w:ascii="仿宋_GB2312" w:hAnsi="仿宋_GB2312" w:eastAsia="仿宋_GB2312" w:cs="仿宋_GB2312"/>
          <w:b w:val="0"/>
          <w:strike w:val="0"/>
          <w:dstrike w:val="0"/>
          <w:color w:val="auto"/>
          <w:kern w:val="2"/>
          <w:sz w:val="32"/>
          <w:szCs w:val="32"/>
          <w:highlight w:val="none"/>
          <w:lang w:val="en" w:eastAsia="zh-CN" w:bidi="ar-SA"/>
        </w:rPr>
        <w:t>革命</w:t>
      </w:r>
      <w:r>
        <w:rPr>
          <w:rFonts w:hint="default" w:ascii="仿宋_GB2312" w:hAnsi="仿宋_GB2312" w:eastAsia="仿宋_GB2312" w:cs="仿宋_GB2312"/>
          <w:b w:val="0"/>
          <w:strike w:val="0"/>
          <w:dstrike w:val="0"/>
          <w:color w:val="auto"/>
          <w:kern w:val="2"/>
          <w:sz w:val="32"/>
          <w:szCs w:val="32"/>
          <w:highlight w:val="none"/>
          <w:lang w:val="en" w:eastAsia="zh-CN" w:bidi="ar-SA"/>
        </w:rPr>
        <w:t>老区良性互动、共赢发展</w:t>
      </w:r>
      <w:r>
        <w:rPr>
          <w:rFonts w:hint="eastAsia" w:ascii="仿宋_GB2312" w:hAnsi="仿宋_GB2312" w:eastAsia="仿宋_GB2312" w:cs="仿宋_GB2312"/>
          <w:b w:val="0"/>
          <w:strike w:val="0"/>
          <w:dstrike w:val="0"/>
          <w:color w:val="auto"/>
          <w:kern w:val="2"/>
          <w:sz w:val="32"/>
          <w:szCs w:val="32"/>
          <w:highlight w:val="none"/>
          <w:lang w:val="en" w:eastAsia="zh-CN" w:bidi="ar-SA"/>
        </w:rPr>
        <w:t>。支持阳泉市蓄势聚能叫响“中共创建第一城”品牌，加强革命老区标志性重点县建设，支持</w:t>
      </w:r>
      <w:r>
        <w:rPr>
          <w:rFonts w:hint="default" w:ascii="仿宋_GB2312" w:hAnsi="仿宋_GB2312" w:eastAsia="仿宋_GB2312" w:cs="仿宋_GB2312"/>
          <w:b w:val="0"/>
          <w:strike w:val="0"/>
          <w:dstrike w:val="0"/>
          <w:color w:val="auto"/>
          <w:kern w:val="2"/>
          <w:sz w:val="32"/>
          <w:szCs w:val="32"/>
          <w:highlight w:val="none"/>
          <w:lang w:val="en" w:eastAsia="zh-CN" w:bidi="ar-SA"/>
        </w:rPr>
        <w:t>武乡</w:t>
      </w:r>
      <w:r>
        <w:rPr>
          <w:rFonts w:hint="eastAsia" w:ascii="仿宋_GB2312" w:hAnsi="仿宋_GB2312" w:eastAsia="仿宋_GB2312" w:cs="仿宋_GB2312"/>
          <w:b w:val="0"/>
          <w:strike w:val="0"/>
          <w:dstrike w:val="0"/>
          <w:color w:val="auto"/>
          <w:kern w:val="2"/>
          <w:sz w:val="32"/>
          <w:szCs w:val="32"/>
          <w:highlight w:val="none"/>
          <w:lang w:val="en" w:eastAsia="zh-CN" w:bidi="ar-SA"/>
        </w:rPr>
        <w:t>建设</w:t>
      </w:r>
      <w:r>
        <w:rPr>
          <w:rFonts w:hint="default" w:ascii="仿宋_GB2312" w:hAnsi="仿宋_GB2312" w:eastAsia="仿宋_GB2312" w:cs="仿宋_GB2312"/>
          <w:b w:val="0"/>
          <w:strike w:val="0"/>
          <w:dstrike w:val="0"/>
          <w:color w:val="auto"/>
          <w:kern w:val="2"/>
          <w:sz w:val="32"/>
          <w:szCs w:val="32"/>
          <w:highlight w:val="none"/>
          <w:lang w:val="en" w:eastAsia="zh-CN" w:bidi="ar-SA"/>
        </w:rPr>
        <w:t>红色旅游融合试点。</w:t>
      </w:r>
    </w:p>
    <w:p>
      <w:pPr>
        <w:keepNext w:val="0"/>
        <w:keepLines w:val="0"/>
        <w:pageBreakBefore w:val="0"/>
        <w:widowControl/>
        <w:suppressLineNumbers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rPr>
          <w:rFonts w:hint="eastAsia" w:ascii="楷体" w:hAnsi="楷体" w:eastAsia="楷体" w:cs="楷体"/>
          <w:color w:val="000000"/>
          <w:sz w:val="32"/>
          <w:szCs w:val="40"/>
          <w:lang w:eastAsia="zh-CN"/>
        </w:rPr>
      </w:pPr>
      <w:r>
        <w:rPr>
          <w:rFonts w:hint="eastAsia" w:ascii="楷体_GB2312" w:hAnsi="楷体_GB2312" w:eastAsia="楷体_GB2312" w:cs="楷体_GB2312"/>
          <w:b w:val="0"/>
          <w:kern w:val="2"/>
          <w:sz w:val="32"/>
          <w:szCs w:val="32"/>
          <w:highlight w:val="none"/>
          <w:lang w:val="en-US" w:eastAsia="zh-CN" w:bidi="ar-SA"/>
        </w:rPr>
        <w:t>（四）深化与发达地区产业合作。</w:t>
      </w:r>
      <w:r>
        <w:rPr>
          <w:rFonts w:hint="eastAsia" w:ascii="仿宋_GB2312" w:hAnsi="仿宋_GB2312" w:eastAsia="仿宋_GB2312" w:cs="仿宋_GB2312"/>
          <w:b w:val="0"/>
          <w:strike w:val="0"/>
          <w:dstrike w:val="0"/>
          <w:color w:val="auto"/>
          <w:kern w:val="2"/>
          <w:sz w:val="32"/>
          <w:szCs w:val="32"/>
          <w:highlight w:val="none"/>
          <w:lang w:val="en-US" w:eastAsia="zh-CN" w:bidi="ar-SA"/>
        </w:rPr>
        <w:t>深入推进北京、长治对口合作，支持太行革命老区深化拓展企业+资源、研发+制造、市场+产品、总部+基地等合作模式，打造国家革命老区重点城市对口合作样板。鼓励引导吕梁革命老区立足资源禀赋、产业特色、合作基础等，发挥比较优势，探索推进与东部发达城市结对。</w:t>
      </w:r>
      <w:r>
        <w:rPr>
          <w:rFonts w:hint="eastAsia" w:ascii="仿宋_GB2312" w:hAnsi="仿宋_GB2312" w:eastAsia="仿宋_GB2312" w:cs="仿宋_GB2312"/>
          <w:color w:val="000000"/>
          <w:sz w:val="32"/>
          <w:szCs w:val="40"/>
          <w:lang w:eastAsia="zh-CN"/>
        </w:rPr>
        <w:t>加强与发达地区开发区合作交流，探索共建合作园区。促进革命老区海关特殊监管区、跨境电商综合试验区发展，强化与东部沿海地区开放平台联动合作，研究推动申建中国（长治）跨境电商综合试验区、保税物流中心（</w:t>
      </w:r>
      <w:r>
        <w:rPr>
          <w:rFonts w:hint="eastAsia" w:ascii="仿宋_GB2312" w:hAnsi="仿宋_GB2312" w:eastAsia="仿宋_GB2312" w:cs="仿宋_GB2312"/>
          <w:color w:val="000000"/>
          <w:sz w:val="32"/>
          <w:szCs w:val="40"/>
          <w:lang w:val="en-US" w:eastAsia="zh-CN"/>
        </w:rPr>
        <w:t>B型</w:t>
      </w:r>
      <w:r>
        <w:rPr>
          <w:rFonts w:hint="eastAsia" w:ascii="仿宋_GB2312" w:hAnsi="仿宋_GB2312" w:eastAsia="仿宋_GB2312" w:cs="仿宋_GB2312"/>
          <w:color w:val="000000"/>
          <w:sz w:val="32"/>
          <w:szCs w:val="4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firstLine="640" w:firstLineChars="200"/>
        <w:jc w:val="both"/>
        <w:textAlignment w:val="auto"/>
        <w:outlineLvl w:val="0"/>
        <w:rPr>
          <w:rFonts w:hint="eastAsia" w:ascii="仿宋_GB2312" w:hAnsi="仿宋_GB2312" w:eastAsia="仿宋_GB2312" w:cs="仿宋_GB2312"/>
          <w:sz w:val="32"/>
          <w:szCs w:val="32"/>
          <w:highlight w:val="none"/>
          <w:lang w:val="en-US" w:eastAsia="zh-CN"/>
        </w:rPr>
      </w:pPr>
      <w:r>
        <w:rPr>
          <w:rFonts w:hint="eastAsia" w:ascii="黑体" w:hAnsi="黑体" w:eastAsia="黑体" w:cs="黑体"/>
          <w:kern w:val="2"/>
          <w:sz w:val="32"/>
          <w:szCs w:val="32"/>
          <w:highlight w:val="none"/>
          <w:lang w:val="en-US" w:eastAsia="zh-CN" w:bidi="ar-SA"/>
        </w:rPr>
        <w:t>三、促进区域城乡协调发展</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eastAsia" w:ascii="Times New Roman" w:hAnsi="Times New Roman" w:eastAsia="仿宋_GB2312" w:cs="Times New Roman"/>
          <w:bCs/>
          <w:color w:val="auto"/>
          <w:sz w:val="32"/>
          <w:szCs w:val="32"/>
          <w:highlight w:val="none"/>
          <w:u w:val="none" w:color="auto"/>
          <w:lang w:val="en-US" w:eastAsia="zh-CN"/>
        </w:rPr>
      </w:pPr>
      <w:r>
        <w:rPr>
          <w:rFonts w:hint="eastAsia" w:ascii="楷体_GB2312" w:hAnsi="楷体_GB2312" w:eastAsia="楷体_GB2312" w:cs="楷体_GB2312"/>
          <w:kern w:val="2"/>
          <w:sz w:val="32"/>
          <w:szCs w:val="32"/>
          <w:highlight w:val="none"/>
          <w:lang w:val="en-US" w:eastAsia="zh-CN" w:bidi="ar-SA"/>
        </w:rPr>
        <w:t>（五）深度融入区域重大战略。</w:t>
      </w:r>
      <w:r>
        <w:rPr>
          <w:rFonts w:hint="eastAsia" w:ascii="仿宋_GB2312" w:hAnsi="仿宋_GB2312" w:eastAsia="仿宋_GB2312" w:cs="仿宋_GB2312"/>
          <w:sz w:val="32"/>
          <w:szCs w:val="32"/>
          <w:highlight w:val="none"/>
          <w:lang w:val="en-US" w:eastAsia="zh-CN"/>
        </w:rPr>
        <w:t>主动融入京津冀协同发展，支持长治走在前、干在先，在推进革命老区中国式现代化中先行先试，支持吕梁对接京津冀“六链五群”，建设“千亿级氢都”，支持大同建设国家区域重点城市，打造对接京津冀城市群的桥头堡，支持阳泉与石家庄开展跨区域共建，织就合作新纽带。加强与长三角、粤港澳大湾区等务实合作，加大产业转移承接力度，</w:t>
      </w:r>
      <w:r>
        <w:rPr>
          <w:rFonts w:hint="default" w:ascii="Times New Roman" w:hAnsi="Times New Roman" w:eastAsia="仿宋_GB2312" w:cs="Times New Roman"/>
          <w:bCs/>
          <w:color w:val="auto"/>
          <w:sz w:val="32"/>
          <w:szCs w:val="32"/>
          <w:highlight w:val="none"/>
          <w:u w:val="none" w:color="auto"/>
          <w:lang w:val="en-US" w:eastAsia="zh-CN"/>
        </w:rPr>
        <w:t>共建产业协同创新中心</w:t>
      </w:r>
      <w:r>
        <w:rPr>
          <w:rFonts w:hint="eastAsia" w:ascii="Times New Roman" w:hAnsi="Times New Roman" w:eastAsia="仿宋_GB2312" w:cs="Times New Roman"/>
          <w:bCs/>
          <w:color w:val="auto"/>
          <w:sz w:val="32"/>
          <w:szCs w:val="32"/>
          <w:highlight w:val="none"/>
          <w:u w:val="none" w:color="auto"/>
          <w:lang w:val="en-US" w:eastAsia="zh-CN"/>
        </w:rPr>
        <w:t>、关联和配套产业基地。发挥山水相连、历史相承、人文相亲、发展相容优势，支持太行、吕梁等革命老区发展绿色生产力，与陕甘宁等革命老区协同构筑黄河中游生态屏障，推进产业协作、公共服务共享、生态环境共保联治。</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 w:hAnsi="楷体" w:eastAsia="楷体" w:cs="楷体"/>
          <w:bCs/>
          <w:color w:val="auto"/>
          <w:sz w:val="32"/>
          <w:szCs w:val="32"/>
          <w:highlight w:val="none"/>
          <w:u w:val="none" w:color="auto"/>
          <w:lang w:val="en-US" w:eastAsia="zh-CN"/>
        </w:rPr>
        <w:t>（六）深入推进新型城镇化建设。</w:t>
      </w:r>
      <w:r>
        <w:rPr>
          <w:rFonts w:hint="eastAsia" w:ascii="仿宋_GB2312" w:hAnsi="仿宋_GB2312" w:eastAsia="仿宋_GB2312" w:cs="仿宋_GB2312"/>
          <w:sz w:val="32"/>
          <w:szCs w:val="32"/>
          <w:highlight w:val="none"/>
          <w:lang w:val="en-US" w:eastAsia="zh-CN"/>
        </w:rPr>
        <w:t>优化完善革命老区城镇体系，明确差异化、互补性功能定位，积极融入山西中部城市群一体化发展，支持朔州、长治、晋城、临汾、运城等市打造省区域中心城市。完善省际协调机制，强化晋北、晋南、晋东南城镇圈与呼包鄂榆、关中平原、中原等城市群合作发展。分类推进以县城为重要载体的城镇化建设，</w:t>
      </w:r>
      <w:r>
        <w:rPr>
          <w:rFonts w:hint="eastAsia" w:ascii="仿宋_GB2312" w:hAnsi="仿宋_GB2312" w:eastAsia="仿宋_GB2312" w:cs="仿宋_GB2312"/>
          <w:sz w:val="32"/>
          <w:szCs w:val="32"/>
          <w:highlight w:val="none"/>
          <w:lang w:val="en" w:eastAsia="zh-CN"/>
        </w:rPr>
        <w:t>发展壮大</w:t>
      </w:r>
      <w:r>
        <w:rPr>
          <w:rFonts w:hint="eastAsia" w:ascii="仿宋_GB2312" w:hAnsi="仿宋_GB2312" w:eastAsia="仿宋_GB2312" w:cs="仿宋_GB2312"/>
          <w:sz w:val="32"/>
          <w:szCs w:val="32"/>
          <w:highlight w:val="none"/>
          <w:lang w:val="en-US" w:eastAsia="zh-CN"/>
        </w:rPr>
        <w:t>县域经济，</w:t>
      </w:r>
      <w:r>
        <w:rPr>
          <w:rFonts w:hint="default" w:ascii="仿宋_GB2312" w:hAnsi="仿宋_GB2312" w:eastAsia="仿宋_GB2312" w:cs="仿宋_GB2312"/>
          <w:sz w:val="32"/>
          <w:szCs w:val="32"/>
          <w:highlight w:val="none"/>
          <w:lang w:val="en" w:eastAsia="zh-CN"/>
        </w:rPr>
        <w:t>结合实际</w:t>
      </w:r>
      <w:r>
        <w:rPr>
          <w:rFonts w:hint="eastAsia" w:ascii="仿宋_GB2312" w:hAnsi="仿宋_GB2312" w:eastAsia="仿宋_GB2312" w:cs="仿宋_GB2312"/>
          <w:sz w:val="32"/>
          <w:szCs w:val="32"/>
          <w:highlight w:val="none"/>
          <w:lang w:val="en-US" w:eastAsia="zh-CN"/>
        </w:rPr>
        <w:t>培育</w:t>
      </w:r>
      <w:r>
        <w:rPr>
          <w:rFonts w:hint="default" w:ascii="仿宋_GB2312" w:hAnsi="仿宋_GB2312" w:eastAsia="仿宋_GB2312" w:cs="仿宋_GB2312"/>
          <w:sz w:val="32"/>
          <w:szCs w:val="32"/>
          <w:highlight w:val="none"/>
          <w:lang w:val="en" w:eastAsia="zh-CN"/>
        </w:rPr>
        <w:t>一批</w:t>
      </w:r>
      <w:r>
        <w:rPr>
          <w:rFonts w:hint="eastAsia" w:ascii="仿宋_GB2312" w:hAnsi="仿宋_GB2312" w:eastAsia="仿宋_GB2312" w:cs="仿宋_GB2312"/>
          <w:sz w:val="32"/>
          <w:szCs w:val="32"/>
          <w:highlight w:val="none"/>
          <w:lang w:val="en-US" w:eastAsia="zh-CN"/>
        </w:rPr>
        <w:t>农业强县、工业大县、旅游名县，</w:t>
      </w:r>
      <w:r>
        <w:rPr>
          <w:rFonts w:hint="default" w:ascii="仿宋_GB2312" w:hAnsi="仿宋_GB2312" w:eastAsia="仿宋_GB2312" w:cs="仿宋_GB2312"/>
          <w:sz w:val="32"/>
          <w:szCs w:val="32"/>
          <w:highlight w:val="none"/>
          <w:lang w:val="en" w:eastAsia="zh-CN"/>
        </w:rPr>
        <w:t>试点示范、稳步有序提高县城发展质量，</w:t>
      </w:r>
      <w:r>
        <w:rPr>
          <w:rFonts w:hint="eastAsia" w:ascii="仿宋_GB2312" w:hAnsi="仿宋_GB2312" w:eastAsia="仿宋_GB2312" w:cs="仿宋_GB2312"/>
          <w:sz w:val="32"/>
          <w:szCs w:val="32"/>
          <w:highlight w:val="none"/>
          <w:lang w:val="en-US" w:eastAsia="zh-CN"/>
        </w:rPr>
        <w:t>推动县城人口集中、产业集聚，加强规模较大的中心镇建设。推动革命老区潜力地区加快工业化城镇化协同发展。实施城市更新与安全韧性提升行动。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（七）建设宜居宜业和美乡村。</w:t>
      </w:r>
      <w:r>
        <w:rPr>
          <w:rFonts w:hint="eastAsia" w:ascii="仿宋_GB2312" w:hAnsi="仿宋_GB2312" w:eastAsia="仿宋_GB2312" w:cs="仿宋_GB2312"/>
          <w:sz w:val="32"/>
          <w:szCs w:val="32"/>
          <w:highlight w:val="none"/>
          <w:lang w:val="en-US" w:eastAsia="zh-CN"/>
        </w:rPr>
        <w:t>分类有序、片区化推进乡村振兴，</w:t>
      </w:r>
      <w:r>
        <w:rPr>
          <w:rFonts w:hint="eastAsia" w:ascii="仿宋_GB2312" w:hAnsi="仿宋_GB2312" w:eastAsia="仿宋_GB2312" w:cs="仿宋_GB2312"/>
          <w:kern w:val="2"/>
          <w:sz w:val="32"/>
          <w:szCs w:val="32"/>
          <w:highlight w:val="none"/>
          <w:lang w:val="en-US" w:eastAsia="zh-CN" w:bidi="ar-SA"/>
        </w:rPr>
        <w:t>深入推进乡村建设行动</w:t>
      </w:r>
      <w:r>
        <w:rPr>
          <w:rFonts w:hint="eastAsia" w:ascii="仿宋_GB2312" w:hAnsi="仿宋_GB2312" w:eastAsia="仿宋_GB2312" w:cs="仿宋_GB2312"/>
          <w:sz w:val="32"/>
          <w:szCs w:val="32"/>
          <w:highlight w:val="none"/>
          <w:lang w:val="en-US" w:eastAsia="zh-CN"/>
        </w:rPr>
        <w:t>，开展传统村落特色保护区建设，建设晋城市国家数字乡村试点。持续巩固拓展脱贫攻坚成果，完善常态化帮扶机制，确保不发生规模性返贫致贫。培育壮大全国乡村旅游重点村镇，发展避暑康养、古建研学等业态，推出乡村旅游精品路线。强化全国红色美丽村庄建设试点示范，推进红色美丽村庄建设。支持符合条件的革命老区县开展城乡建设用地增减挂钩节余指标省内交易，节余指标省域内有偿调剂收益按规定用于革命老区乡村振兴。深入推进抓党建促乡村振兴，</w:t>
      </w:r>
      <w:r>
        <w:rPr>
          <w:rFonts w:hint="eastAsia" w:ascii="仿宋_GB2312" w:hAnsi="仿宋_GB2312" w:eastAsia="仿宋_GB2312" w:cs="仿宋_GB2312"/>
          <w:kern w:val="2"/>
          <w:sz w:val="32"/>
          <w:szCs w:val="32"/>
          <w:highlight w:val="none"/>
          <w:lang w:val="en-US" w:eastAsia="zh-CN" w:bidi="ar-SA"/>
        </w:rPr>
        <w:t>加强农村基层党组织建设，深化乡镇（街道）党建办实体化规范化运行</w:t>
      </w:r>
      <w:r>
        <w:rPr>
          <w:rFonts w:hint="eastAsia" w:ascii="仿宋_GB2312" w:hAnsi="仿宋_GB2312" w:eastAsia="仿宋_GB2312" w:cs="仿宋_GB2312"/>
          <w:sz w:val="32"/>
          <w:szCs w:val="32"/>
          <w:highlight w:val="none"/>
          <w:lang w:val="en-US" w:eastAsia="zh-CN"/>
        </w:rPr>
        <w:t>，健全村级议事协商、办事公开等制度，加力推进乡村善治。</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firstLine="640" w:firstLineChars="200"/>
        <w:jc w:val="both"/>
        <w:textAlignment w:val="auto"/>
        <w:outlineLvl w:val="0"/>
        <w:rPr>
          <w:rFonts w:hint="default" w:ascii="仿宋_GB2312" w:hAnsi="仿宋_GB2312" w:eastAsia="仿宋_GB2312" w:cs="仿宋_GB2312"/>
          <w:sz w:val="32"/>
          <w:szCs w:val="32"/>
          <w:highlight w:val="none"/>
          <w:lang w:val="en-US" w:eastAsia="zh-CN"/>
        </w:rPr>
      </w:pPr>
      <w:r>
        <w:rPr>
          <w:rFonts w:hint="eastAsia" w:ascii="黑体" w:hAnsi="黑体" w:eastAsia="黑体" w:cs="黑体"/>
          <w:kern w:val="2"/>
          <w:sz w:val="32"/>
          <w:szCs w:val="32"/>
          <w:highlight w:val="none"/>
          <w:lang w:val="en-US" w:eastAsia="zh-CN" w:bidi="ar-SA"/>
        </w:rPr>
        <w:t>四、补齐基础设施和公共服务短板</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sz w:val="32"/>
          <w:szCs w:val="32"/>
          <w:highlight w:val="none"/>
          <w:lang w:val="en-US" w:eastAsia="zh-CN"/>
        </w:rPr>
        <w:t>（八）建设</w:t>
      </w:r>
      <w:r>
        <w:rPr>
          <w:rFonts w:hint="eastAsia" w:ascii="楷体_GB2312" w:hAnsi="楷体_GB2312" w:eastAsia="楷体_GB2312" w:cs="楷体_GB2312"/>
          <w:sz w:val="32"/>
          <w:szCs w:val="32"/>
          <w:highlight w:val="none"/>
          <w:u w:val="none"/>
          <w:lang w:val="en-US" w:eastAsia="zh-CN"/>
        </w:rPr>
        <w:t>完善现代化基础设施。</w:t>
      </w:r>
      <w:r>
        <w:rPr>
          <w:rFonts w:hint="eastAsia" w:ascii="仿宋_GB2312" w:hAnsi="仿宋_GB2312" w:eastAsia="仿宋_GB2312" w:cs="仿宋_GB2312"/>
          <w:sz w:val="32"/>
          <w:szCs w:val="32"/>
          <w:highlight w:val="none"/>
          <w:u w:val="none"/>
          <w:lang w:val="en-US" w:eastAsia="zh-CN"/>
        </w:rPr>
        <w:t>坚持适度超前、不过度超前，</w:t>
      </w:r>
      <w:r>
        <w:rPr>
          <w:rFonts w:hint="default" w:ascii="Times New Roman" w:hAnsi="Times New Roman" w:eastAsia="仿宋_GB2312" w:cs="Times New Roman"/>
          <w:color w:val="auto"/>
          <w:kern w:val="2"/>
          <w:sz w:val="32"/>
          <w:szCs w:val="32"/>
          <w:highlight w:val="none"/>
          <w:u w:val="none" w:color="auto"/>
          <w:lang w:val="en-US" w:eastAsia="zh-CN" w:bidi="ar-SA"/>
        </w:rPr>
        <w:t>加强统筹规划，优化布局结构，促进集成融合，</w:t>
      </w:r>
      <w:r>
        <w:rPr>
          <w:rFonts w:hint="default" w:ascii="Times New Roman" w:hAnsi="Times New Roman" w:eastAsia="仿宋_GB2312" w:cs="Times New Roman"/>
          <w:color w:val="auto"/>
          <w:sz w:val="32"/>
          <w:szCs w:val="32"/>
          <w:u w:val="none" w:color="auto"/>
        </w:rPr>
        <w:t>全面提升基础设施对</w:t>
      </w:r>
      <w:r>
        <w:rPr>
          <w:rFonts w:hint="eastAsia" w:ascii="Times New Roman" w:hAnsi="Times New Roman" w:eastAsia="仿宋_GB2312" w:cs="Times New Roman"/>
          <w:color w:val="auto"/>
          <w:sz w:val="32"/>
          <w:szCs w:val="32"/>
          <w:u w:val="none" w:color="auto"/>
          <w:lang w:eastAsia="zh-CN"/>
        </w:rPr>
        <w:t>革命老区</w:t>
      </w:r>
      <w:r>
        <w:rPr>
          <w:rFonts w:hint="default" w:ascii="Times New Roman" w:hAnsi="Times New Roman" w:eastAsia="仿宋_GB2312" w:cs="Times New Roman"/>
          <w:color w:val="auto"/>
          <w:sz w:val="32"/>
          <w:szCs w:val="32"/>
          <w:u w:val="none" w:color="auto"/>
        </w:rPr>
        <w:t>经济社会发展支撑能力</w:t>
      </w:r>
      <w:r>
        <w:rPr>
          <w:rFonts w:hint="eastAsia" w:ascii="Times New Roman" w:hAnsi="Times New Roman" w:eastAsia="仿宋_GB2312" w:cs="Times New Roman"/>
          <w:color w:val="auto"/>
          <w:sz w:val="32"/>
          <w:szCs w:val="32"/>
          <w:u w:val="none" w:color="auto"/>
          <w:lang w:eastAsia="zh-CN"/>
        </w:rPr>
        <w:t>，支持</w:t>
      </w:r>
      <w:r>
        <w:rPr>
          <w:rFonts w:hint="eastAsia" w:ascii="仿宋_GB2312" w:hAnsi="仿宋_GB2312" w:eastAsia="仿宋_GB2312" w:cs="仿宋_GB2312"/>
          <w:sz w:val="32"/>
          <w:szCs w:val="32"/>
          <w:highlight w:val="none"/>
          <w:u w:val="none"/>
          <w:lang w:val="en-US" w:eastAsia="zh-CN"/>
        </w:rPr>
        <w:t>条件成熟的革命老区项目优先纳入相关专项规划。</w:t>
      </w:r>
      <w:r>
        <w:rPr>
          <w:rFonts w:hint="default" w:ascii="Times New Roman" w:hAnsi="Times New Roman" w:eastAsia="仿宋_GB2312" w:cs="Times New Roman"/>
          <w:color w:val="auto"/>
          <w:kern w:val="2"/>
          <w:sz w:val="32"/>
          <w:szCs w:val="32"/>
          <w:highlight w:val="none"/>
          <w:u w:val="none" w:color="auto"/>
          <w:lang w:val="en-US" w:eastAsia="zh-CN" w:bidi="ar-SA"/>
        </w:rPr>
        <w:t>建成雄忻</w:t>
      </w:r>
      <w:r>
        <w:rPr>
          <w:rFonts w:hint="eastAsia" w:ascii="Times New Roman" w:hAnsi="Times New Roman" w:eastAsia="仿宋_GB2312" w:cs="Times New Roman"/>
          <w:color w:val="auto"/>
          <w:kern w:val="2"/>
          <w:sz w:val="32"/>
          <w:szCs w:val="32"/>
          <w:highlight w:val="none"/>
          <w:u w:val="none" w:color="auto"/>
          <w:lang w:val="en-US" w:eastAsia="zh-CN" w:bidi="ar-SA"/>
        </w:rPr>
        <w:t>高铁</w:t>
      </w:r>
      <w:r>
        <w:rPr>
          <w:rFonts w:hint="default" w:ascii="Times New Roman" w:hAnsi="Times New Roman" w:eastAsia="仿宋_GB2312" w:cs="Times New Roman"/>
          <w:color w:val="auto"/>
          <w:kern w:val="2"/>
          <w:sz w:val="32"/>
          <w:szCs w:val="32"/>
          <w:highlight w:val="none"/>
          <w:u w:val="none" w:color="auto"/>
          <w:lang w:val="en-US" w:eastAsia="zh-CN" w:bidi="ar-SA"/>
        </w:rPr>
        <w:t>，加快太绥</w:t>
      </w:r>
      <w:r>
        <w:rPr>
          <w:rFonts w:hint="eastAsia" w:ascii="Times New Roman" w:hAnsi="Times New Roman" w:eastAsia="仿宋_GB2312" w:cs="Times New Roman"/>
          <w:color w:val="auto"/>
          <w:kern w:val="2"/>
          <w:sz w:val="32"/>
          <w:szCs w:val="32"/>
          <w:highlight w:val="none"/>
          <w:u w:val="none" w:color="auto"/>
          <w:lang w:val="en-US" w:eastAsia="zh-CN" w:bidi="ar-SA"/>
        </w:rPr>
        <w:t>高</w:t>
      </w:r>
      <w:r>
        <w:rPr>
          <w:rFonts w:hint="default" w:ascii="Times New Roman" w:hAnsi="Times New Roman" w:eastAsia="仿宋_GB2312" w:cs="Times New Roman"/>
          <w:color w:val="auto"/>
          <w:kern w:val="2"/>
          <w:sz w:val="32"/>
          <w:szCs w:val="32"/>
          <w:highlight w:val="none"/>
          <w:u w:val="none" w:color="auto"/>
          <w:lang w:val="en-US" w:eastAsia="zh-CN" w:bidi="ar-SA"/>
        </w:rPr>
        <w:t>铁</w:t>
      </w:r>
      <w:r>
        <w:rPr>
          <w:rFonts w:hint="eastAsia" w:ascii="Times New Roman" w:hAnsi="Times New Roman" w:eastAsia="仿宋_GB2312" w:cs="Times New Roman"/>
          <w:color w:val="auto"/>
          <w:kern w:val="2"/>
          <w:sz w:val="32"/>
          <w:szCs w:val="32"/>
          <w:highlight w:val="none"/>
          <w:u w:val="none" w:color="auto"/>
          <w:lang w:val="en-US" w:eastAsia="zh-CN" w:bidi="ar-SA"/>
        </w:rPr>
        <w:t>建设，推进</w:t>
      </w:r>
      <w:r>
        <w:rPr>
          <w:rFonts w:hint="default" w:ascii="Times New Roman" w:hAnsi="Times New Roman" w:eastAsia="仿宋_GB2312" w:cs="Times New Roman"/>
          <w:color w:val="auto"/>
          <w:kern w:val="2"/>
          <w:sz w:val="32"/>
          <w:szCs w:val="32"/>
          <w:highlight w:val="none"/>
          <w:u w:val="none" w:color="auto"/>
          <w:lang w:val="en-US" w:eastAsia="zh-CN" w:bidi="ar-SA"/>
        </w:rPr>
        <w:t>长邯聊、运三</w:t>
      </w:r>
      <w:r>
        <w:rPr>
          <w:rFonts w:hint="eastAsia" w:ascii="Times New Roman" w:hAnsi="Times New Roman" w:eastAsia="仿宋_GB2312" w:cs="Times New Roman"/>
          <w:color w:val="auto"/>
          <w:kern w:val="2"/>
          <w:sz w:val="32"/>
          <w:szCs w:val="32"/>
          <w:highlight w:val="none"/>
          <w:u w:val="none" w:color="auto"/>
          <w:lang w:val="en-US" w:eastAsia="zh-CN" w:bidi="ar-SA"/>
        </w:rPr>
        <w:t>等高铁</w:t>
      </w:r>
      <w:r>
        <w:rPr>
          <w:rFonts w:hint="default" w:ascii="Times New Roman" w:hAnsi="Times New Roman" w:eastAsia="仿宋_GB2312" w:cs="Times New Roman"/>
          <w:color w:val="auto"/>
          <w:kern w:val="2"/>
          <w:sz w:val="32"/>
          <w:szCs w:val="32"/>
          <w:highlight w:val="none"/>
          <w:u w:val="none" w:color="auto"/>
          <w:lang w:val="en-US" w:eastAsia="zh-CN" w:bidi="ar-SA"/>
        </w:rPr>
        <w:t>前期工作</w:t>
      </w:r>
      <w:r>
        <w:rPr>
          <w:rFonts w:hint="eastAsia" w:ascii="Times New Roman" w:hAnsi="Times New Roman" w:eastAsia="仿宋_GB2312" w:cs="Times New Roman"/>
          <w:color w:val="auto"/>
          <w:kern w:val="2"/>
          <w:sz w:val="32"/>
          <w:szCs w:val="32"/>
          <w:highlight w:val="none"/>
          <w:u w:val="none" w:color="auto"/>
          <w:lang w:val="en-US" w:eastAsia="zh-CN" w:bidi="ar-SA"/>
        </w:rPr>
        <w:t>，提速推进太和铁路。织密革命老区高速公路网，推动昔榆、黎霍高速公路通车运营，加快推进太旧改扩建和祁离、古娄方等高速公路建设，实施高速公路“开口子”工程，优先连接重点城镇和红色文化纪念地，推动</w:t>
      </w:r>
      <w:r>
        <w:rPr>
          <w:rFonts w:hint="eastAsia" w:ascii="仿宋_GB2312" w:hAnsi="仿宋_GB2312" w:eastAsia="仿宋_GB2312" w:cs="仿宋_GB2312"/>
          <w:color w:val="auto"/>
          <w:kern w:val="2"/>
          <w:sz w:val="32"/>
          <w:szCs w:val="32"/>
          <w:highlight w:val="none"/>
          <w:u w:val="none" w:color="auto"/>
          <w:lang w:val="en-US" w:eastAsia="zh-CN" w:bidi="ar-SA"/>
        </w:rPr>
        <w:t>穿越革命老区普通国省道提质升级</w:t>
      </w:r>
      <w:r>
        <w:rPr>
          <w:rFonts w:hint="eastAsia" w:ascii="Times New Roman" w:hAnsi="Times New Roman" w:eastAsia="仿宋_GB2312" w:cs="Times New Roman"/>
          <w:color w:val="auto"/>
          <w:kern w:val="2"/>
          <w:sz w:val="32"/>
          <w:szCs w:val="32"/>
          <w:highlight w:val="none"/>
          <w:u w:val="none" w:color="auto"/>
          <w:lang w:val="en-US" w:eastAsia="zh-CN" w:bidi="ar-SA"/>
        </w:rPr>
        <w:t>。深化新一轮农村公路提升行动，推动实现“新三通”。</w:t>
      </w:r>
      <w:r>
        <w:rPr>
          <w:rFonts w:hint="default" w:ascii="Times New Roman" w:hAnsi="Times New Roman" w:eastAsia="仿宋_GB2312" w:cs="Times New Roman"/>
          <w:color w:val="auto"/>
          <w:kern w:val="2"/>
          <w:sz w:val="32"/>
          <w:szCs w:val="32"/>
          <w:highlight w:val="none"/>
          <w:u w:val="none" w:color="auto"/>
          <w:lang w:val="en-US" w:eastAsia="zh-CN" w:bidi="ar-SA"/>
        </w:rPr>
        <w:t>推进新建晋城机场和长治机场迁建，</w:t>
      </w:r>
      <w:r>
        <w:rPr>
          <w:rFonts w:hint="eastAsia" w:ascii="Times New Roman" w:hAnsi="Times New Roman" w:eastAsia="仿宋_GB2312" w:cs="Times New Roman"/>
          <w:color w:val="auto"/>
          <w:kern w:val="2"/>
          <w:sz w:val="32"/>
          <w:szCs w:val="32"/>
          <w:highlight w:val="none"/>
          <w:u w:val="none" w:color="auto"/>
          <w:lang w:val="en-US" w:eastAsia="zh-CN" w:bidi="ar-SA"/>
        </w:rPr>
        <w:t>完善红色航空运输体系，促进低空经济发展。</w:t>
      </w:r>
      <w:r>
        <w:rPr>
          <w:rFonts w:hint="eastAsia" w:ascii="仿宋_GB2312" w:hAnsi="仿宋_GB2312" w:eastAsia="仿宋_GB2312" w:cs="仿宋_GB2312"/>
          <w:color w:val="auto"/>
          <w:sz w:val="32"/>
          <w:szCs w:val="32"/>
          <w:highlight w:val="none"/>
          <w:lang w:val="en-US" w:eastAsia="zh-CN"/>
        </w:rPr>
        <w:t>加快构建“三纵九横、八河连通”现代水网体系，力争开工建设吴家庄水库，推进神五岢、上党大型灌区前期工作，新建漳泽、壶邑等中型灌区，整装推进尊村、夹马口引黄等大中型灌区现代化改造。</w:t>
      </w:r>
      <w:r>
        <w:rPr>
          <w:rFonts w:hint="eastAsia" w:ascii="仿宋_GB2312" w:hAnsi="仿宋_GB2312" w:eastAsia="仿宋_GB2312" w:cs="仿宋_GB2312"/>
          <w:color w:val="auto"/>
          <w:sz w:val="32"/>
          <w:szCs w:val="32"/>
          <w:highlight w:val="none"/>
          <w:u w:val="none"/>
          <w:lang w:val="en-US" w:eastAsia="zh-CN"/>
        </w:rPr>
        <w:t>全面推行农村供水“3+1”标准化建设和管护模式</w:t>
      </w:r>
      <w:r>
        <w:rPr>
          <w:rFonts w:hint="eastAsia" w:ascii="仿宋_GB2312" w:hAnsi="仿宋_GB2312" w:eastAsia="仿宋_GB2312" w:cs="仿宋_GB2312"/>
          <w:color w:val="auto"/>
          <w:sz w:val="32"/>
          <w:szCs w:val="32"/>
          <w:highlight w:val="none"/>
          <w:lang w:val="en-US" w:eastAsia="zh-CN"/>
        </w:rPr>
        <w:t>。加快大同-怀来-天津南、长治-南阳第二回等特高压工程建设，完善跨省输电通道。有序打造抽水蓄能电站矩阵。持续实施电信普遍服务项目，推进革命老区新型信息通信网络迭代更新。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 w:eastAsia="zh-CN"/>
        </w:rPr>
      </w:pPr>
      <w:r>
        <w:rPr>
          <w:rFonts w:hint="eastAsia" w:ascii="楷体_GB2312" w:hAnsi="楷体_GB2312" w:eastAsia="楷体_GB2312" w:cs="楷体_GB2312"/>
          <w:sz w:val="32"/>
          <w:szCs w:val="32"/>
          <w:highlight w:val="none"/>
          <w:lang w:val="en-US" w:eastAsia="zh-CN"/>
        </w:rPr>
        <w:t>（九）稳定和扩大重点群体就业。</w:t>
      </w:r>
      <w:r>
        <w:rPr>
          <w:rFonts w:hint="eastAsia" w:ascii="仿宋_GB2312" w:hAnsi="仿宋_GB2312" w:eastAsia="仿宋_GB2312" w:cs="仿宋_GB2312"/>
          <w:color w:val="auto"/>
          <w:sz w:val="32"/>
          <w:szCs w:val="32"/>
          <w:highlight w:val="none"/>
          <w:lang w:val="en-US" w:eastAsia="zh-CN"/>
        </w:rPr>
        <w:t>坚持就业优先战略，实施</w:t>
      </w:r>
      <w:r>
        <w:rPr>
          <w:rFonts w:hint="default" w:ascii="仿宋_GB2312" w:hAnsi="仿宋_GB2312" w:eastAsia="仿宋_GB2312" w:cs="仿宋_GB2312"/>
          <w:color w:val="auto"/>
          <w:sz w:val="32"/>
          <w:szCs w:val="32"/>
          <w:highlight w:val="none"/>
          <w:lang w:val="en-US" w:eastAsia="zh-CN"/>
        </w:rPr>
        <w:t>重点群体就业促进工程</w:t>
      </w:r>
      <w:r>
        <w:rPr>
          <w:rFonts w:hint="eastAsia" w:ascii="仿宋_GB2312" w:hAnsi="仿宋_GB2312" w:eastAsia="仿宋_GB2312" w:cs="仿宋_GB2312"/>
          <w:color w:val="auto"/>
          <w:sz w:val="32"/>
          <w:szCs w:val="32"/>
          <w:highlight w:val="none"/>
          <w:lang w:val="en-US" w:eastAsia="zh-CN"/>
        </w:rPr>
        <w:t>。统筹线上线下，依托山西公共招聘网等平台，发挥基层就业社保服务点作用，推动公共就业服务等向基层下沉、向革命老区延伸。支持有条件的革命老区加强公共实训基地、高技能人才培训基地建设，</w:t>
      </w:r>
      <w:r>
        <w:rPr>
          <w:rFonts w:hint="eastAsia" w:ascii="仿宋_GB2312" w:hAnsi="仿宋_GB2312" w:eastAsia="仿宋_GB2312" w:cs="仿宋_GB2312"/>
          <w:color w:val="auto"/>
          <w:sz w:val="32"/>
          <w:szCs w:val="32"/>
          <w:highlight w:val="none"/>
          <w:u w:val="none"/>
          <w:lang w:val="en-US" w:eastAsia="zh-CN"/>
        </w:rPr>
        <w:t>优化</w:t>
      </w:r>
      <w:r>
        <w:rPr>
          <w:rFonts w:hint="default" w:ascii="仿宋_GB2312" w:hAnsi="仿宋_GB2312" w:eastAsia="仿宋_GB2312" w:cs="仿宋_GB2312"/>
          <w:color w:val="auto"/>
          <w:sz w:val="32"/>
          <w:szCs w:val="32"/>
          <w:highlight w:val="none"/>
          <w:u w:val="none"/>
          <w:lang w:val="en-US" w:eastAsia="zh-CN"/>
        </w:rPr>
        <w:t>职业技能培训供给体系</w:t>
      </w:r>
      <w:r>
        <w:rPr>
          <w:rFonts w:hint="eastAsia" w:ascii="仿宋_GB2312" w:hAnsi="仿宋_GB2312" w:eastAsia="仿宋_GB2312" w:cs="仿宋_GB2312"/>
          <w:color w:val="auto"/>
          <w:sz w:val="32"/>
          <w:szCs w:val="32"/>
          <w:highlight w:val="none"/>
          <w:lang w:val="en-US" w:eastAsia="zh-CN"/>
        </w:rPr>
        <w:t>。健全跨区域劳务协作机制，完善外出务工服务工作站体系，构建覆盖北京、天津、上海、广东、江苏、浙江等劳务输出集中地区服务保障网，推动吕梁山护工、太行巧娘等劳务品牌提质升级。</w:t>
      </w:r>
      <w:r>
        <w:rPr>
          <w:rFonts w:hint="default" w:ascii="仿宋_GB2312" w:hAnsi="仿宋_GB2312" w:eastAsia="仿宋_GB2312" w:cs="仿宋_GB2312"/>
          <w:color w:val="auto"/>
          <w:sz w:val="32"/>
          <w:szCs w:val="32"/>
          <w:highlight w:val="none"/>
          <w:lang w:val="en" w:eastAsia="zh-CN"/>
        </w:rPr>
        <w:t>统筹用好帮扶车间、公益性岗位、以工代赈</w:t>
      </w:r>
      <w:r>
        <w:rPr>
          <w:rFonts w:hint="eastAsia" w:ascii="仿宋_GB2312" w:hAnsi="仿宋_GB2312" w:eastAsia="仿宋_GB2312" w:cs="仿宋_GB2312"/>
          <w:color w:val="auto"/>
          <w:sz w:val="32"/>
          <w:szCs w:val="32"/>
          <w:highlight w:val="none"/>
          <w:lang w:val="en-US" w:eastAsia="zh-CN"/>
        </w:rPr>
        <w:t>等渠道，发挥</w:t>
      </w:r>
      <w:r>
        <w:rPr>
          <w:rFonts w:hint="default" w:ascii="仿宋_GB2312" w:hAnsi="仿宋_GB2312" w:eastAsia="仿宋_GB2312" w:cs="仿宋_GB2312"/>
          <w:color w:val="auto"/>
          <w:sz w:val="32"/>
          <w:szCs w:val="32"/>
          <w:highlight w:val="none"/>
          <w:lang w:val="en" w:eastAsia="zh-CN"/>
        </w:rPr>
        <w:t>乡村工匠带动</w:t>
      </w:r>
      <w:r>
        <w:rPr>
          <w:rFonts w:hint="eastAsia" w:ascii="仿宋_GB2312" w:hAnsi="仿宋_GB2312" w:eastAsia="仿宋_GB2312" w:cs="仿宋_GB2312"/>
          <w:color w:val="auto"/>
          <w:sz w:val="32"/>
          <w:szCs w:val="32"/>
          <w:highlight w:val="none"/>
          <w:lang w:val="en-US" w:eastAsia="zh-CN"/>
        </w:rPr>
        <w:t>作用</w:t>
      </w:r>
      <w:r>
        <w:rPr>
          <w:rFonts w:hint="default" w:ascii="仿宋_GB2312" w:hAnsi="仿宋_GB2312" w:eastAsia="仿宋_GB2312" w:cs="仿宋_GB2312"/>
          <w:color w:val="auto"/>
          <w:sz w:val="32"/>
          <w:szCs w:val="32"/>
          <w:highlight w:val="none"/>
          <w:lang w:val="en" w:eastAsia="zh-CN"/>
        </w:rPr>
        <w:t>，多管齐下</w:t>
      </w:r>
      <w:r>
        <w:rPr>
          <w:rFonts w:hint="eastAsia" w:ascii="仿宋_GB2312" w:hAnsi="仿宋_GB2312" w:eastAsia="仿宋_GB2312" w:cs="仿宋_GB2312"/>
          <w:color w:val="auto"/>
          <w:sz w:val="32"/>
          <w:szCs w:val="32"/>
          <w:highlight w:val="none"/>
          <w:lang w:val="en" w:eastAsia="zh-CN"/>
        </w:rPr>
        <w:t>促进当地群众就地就近</w:t>
      </w:r>
      <w:r>
        <w:rPr>
          <w:rFonts w:hint="default" w:ascii="仿宋_GB2312" w:hAnsi="仿宋_GB2312" w:eastAsia="仿宋_GB2312" w:cs="仿宋_GB2312"/>
          <w:color w:val="auto"/>
          <w:sz w:val="32"/>
          <w:szCs w:val="32"/>
          <w:highlight w:val="none"/>
          <w:lang w:val="en" w:eastAsia="zh-CN"/>
        </w:rPr>
        <w:t>就业</w:t>
      </w:r>
      <w:r>
        <w:rPr>
          <w:rFonts w:hint="eastAsia" w:ascii="仿宋_GB2312" w:hAnsi="仿宋_GB2312" w:eastAsia="仿宋_GB2312" w:cs="仿宋_GB2312"/>
          <w:color w:val="auto"/>
          <w:sz w:val="32"/>
          <w:szCs w:val="32"/>
          <w:highlight w:val="none"/>
          <w:lang w:val="en-US" w:eastAsia="zh-CN"/>
        </w:rPr>
        <w:t>增收</w:t>
      </w:r>
      <w:r>
        <w:rPr>
          <w:rFonts w:hint="default" w:ascii="仿宋_GB2312" w:hAnsi="仿宋_GB2312" w:eastAsia="仿宋_GB2312" w:cs="仿宋_GB2312"/>
          <w:color w:val="auto"/>
          <w:sz w:val="32"/>
          <w:szCs w:val="32"/>
          <w:highlight w:val="none"/>
          <w:lang w:val="en" w:eastAsia="zh-CN"/>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sz w:val="32"/>
          <w:szCs w:val="32"/>
          <w:highlight w:val="none"/>
          <w:lang w:val="en-US" w:eastAsia="zh-CN"/>
        </w:rPr>
        <w:t>（十）稳步推进基本公共服务均等化。</w:t>
      </w:r>
      <w:r>
        <w:rPr>
          <w:rFonts w:hint="eastAsia" w:ascii="仿宋_GB2312" w:hAnsi="仿宋_GB2312" w:eastAsia="仿宋_GB2312" w:cs="仿宋_GB2312"/>
          <w:sz w:val="32"/>
          <w:szCs w:val="32"/>
          <w:highlight w:val="none"/>
          <w:lang w:val="en-US" w:eastAsia="zh-CN"/>
        </w:rPr>
        <w:t>建立与常住人口变化相协调的基本公共服务供给机制，引导公共服务资源适度集中。实施基础教育扩优提质行动，系统深化县中振兴，加强“国培计划”“省培计划”示范引领。持续推进“八一爱民学校”援建工作。支持长治市人民医院等省级区域医疗中心提质增效，鼓励革命老区医院与国内高水平医院合作共建医联体。</w:t>
      </w:r>
      <w:r>
        <w:rPr>
          <w:rFonts w:hint="eastAsia" w:ascii="仿宋_GB2312" w:hAnsi="仿宋_GB2312" w:eastAsia="仿宋_GB2312" w:cs="仿宋_GB2312"/>
          <w:color w:val="auto"/>
          <w:sz w:val="32"/>
          <w:szCs w:val="32"/>
          <w:highlight w:val="none"/>
          <w:lang w:val="en-US" w:eastAsia="zh-CN"/>
        </w:rPr>
        <w:t>加力实施医疗卫生强基工程，支持革命老区开展省级中医区域医疗中心建设。发展普惠托育和托幼一体化服务，深入推进医养结合，加力实施城乡养老幸福工程。做好拥军优属工作，提升优抚对象保障质效。强化革命老区优抚医院、光荣院保障能力，推动基层退役军人服务中心（站）规范化标准化信息化建设，打造红色退役军人服务站点。</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（十一）统筹推进生态保护修复。</w:t>
      </w:r>
      <w:r>
        <w:rPr>
          <w:rFonts w:hint="eastAsia" w:ascii="仿宋_GB2312" w:hAnsi="仿宋_GB2312" w:eastAsia="仿宋_GB2312" w:cs="仿宋_GB2312"/>
          <w:sz w:val="32"/>
          <w:szCs w:val="32"/>
          <w:highlight w:val="none"/>
          <w:lang w:val="en-US" w:eastAsia="zh-CN"/>
        </w:rPr>
        <w:t>强化太行山、吕梁山等重要生态系统保护修复，加大历史遗留矿山生态修复力度，有序推进太行山国家公园候选区创建前期工作，支持山西长治太行山世界地质公园申报创建。实施黄土高原塬面保护和小流域综合治理提质增效等工程，强化革命老区水土流失综合治理。推进“七河”“五湖”生态保护与修复，加强汾河源头等自然保护区、饮用水水源地建设，强化河湖岸线和滩区生态整治。健全防洪、防火等自然灾害监测预警体系，提升革命老区应急广播、专业救援队伍服务能力。强化生态环境分区管控，加强区域协同治理，支持革命老区开</w:t>
      </w:r>
      <w:r>
        <w:rPr>
          <w:rFonts w:hint="eastAsia" w:ascii="仿宋_GB2312" w:hAnsi="仿宋_GB2312" w:eastAsia="仿宋_GB2312" w:cs="仿宋_GB2312"/>
          <w:color w:val="auto"/>
          <w:sz w:val="32"/>
          <w:szCs w:val="32"/>
          <w:highlight w:val="none"/>
          <w:lang w:val="en-US" w:eastAsia="zh-CN"/>
        </w:rPr>
        <w:t>展生物多样性保护，重点守护好华北豹、原麝、褐马鸡、黑鹳等旗舰物种。鼓励革命老区加快探索生态产品价值实现机制，推进长治国家生态产品价值实现机制试点建设。</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firstLine="640" w:firstLineChars="200"/>
        <w:jc w:val="both"/>
        <w:textAlignment w:val="auto"/>
        <w:outlineLvl w:val="0"/>
        <w:rPr>
          <w:rFonts w:hint="default" w:ascii="仿宋_GB2312" w:hAnsi="仿宋_GB2312" w:eastAsia="仿宋_GB2312" w:cs="仿宋_GB2312"/>
          <w:sz w:val="32"/>
          <w:szCs w:val="32"/>
          <w:highlight w:val="none"/>
          <w:lang w:val="en-US" w:eastAsia="zh-CN"/>
        </w:rPr>
      </w:pPr>
      <w:r>
        <w:rPr>
          <w:rFonts w:hint="eastAsia" w:ascii="黑体" w:hAnsi="黑体" w:eastAsia="黑体" w:cs="黑体"/>
          <w:kern w:val="2"/>
          <w:sz w:val="32"/>
          <w:szCs w:val="32"/>
          <w:highlight w:val="none"/>
          <w:lang w:val="en-US" w:eastAsia="zh-CN" w:bidi="ar-SA"/>
        </w:rPr>
        <w:t>五、一体推进教育科技人才发展</w:t>
      </w:r>
    </w:p>
    <w:p>
      <w:pPr>
        <w:keepNext w:val="0"/>
        <w:keepLines w:val="0"/>
        <w:pageBreakBefore w:val="0"/>
        <w:widowControl w:val="0"/>
        <w:suppressLineNumbers w:val="0"/>
        <w:kinsoku/>
        <w:wordWrap/>
        <w:overflowPunct w:val="0"/>
        <w:topLinePunct w:val="0"/>
        <w:autoSpaceDE/>
        <w:autoSpaceDN/>
        <w:bidi w:val="0"/>
        <w:adjustRightInd/>
        <w:snapToGrid/>
        <w:spacing w:beforeLines="0" w:afterLines="0"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bidi="ar-SA"/>
        </w:rPr>
        <w:t>（十二）强化定向育才。</w:t>
      </w:r>
      <w:r>
        <w:rPr>
          <w:rFonts w:hint="eastAsia" w:ascii="仿宋_GB2312" w:hAnsi="仿宋_GB2312" w:eastAsia="仿宋_GB2312" w:cs="仿宋_GB2312"/>
          <w:sz w:val="32"/>
          <w:szCs w:val="32"/>
          <w:highlight w:val="none"/>
          <w:u w:val="none"/>
          <w:lang w:val="en-US" w:eastAsia="zh-CN"/>
        </w:rPr>
        <w:t>优化革命老区高等教育布局</w:t>
      </w:r>
      <w:r>
        <w:rPr>
          <w:rFonts w:hint="eastAsia" w:ascii="仿宋_GB2312" w:hAnsi="仿宋_GB2312" w:eastAsia="仿宋_GB2312" w:cs="仿宋_GB2312"/>
          <w:sz w:val="32"/>
          <w:szCs w:val="32"/>
          <w:highlight w:val="none"/>
          <w:lang w:val="en-US" w:eastAsia="zh-CN"/>
        </w:rPr>
        <w:t>，按规定支持办学能力提升、学科专业调整优化、学位授权点增设等，加强高水平应用型本科高校建设，适配革命老区振兴发展需求。高质量推进“双高建设计划”，培育建强中国特色高水平高职学校，鼓励职业教育学校建设省级市域产教联合体、行业产教融合共同体。支持革命老区应用型本科高校、职业院校打造高水平、专业化产教融合实训基地。推动山西机电职业技术学院升格为职业本科大学。鼓励“双一流”建设高校、高水平职业学校、技师学院与革命老区开展合作共建，定向培养技术人才。</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bidi="ar-SA"/>
        </w:rPr>
        <w:t>（十三）增强科技创新支撑</w:t>
      </w:r>
      <w:r>
        <w:rPr>
          <w:rFonts w:hint="default" w:ascii="楷体_GB2312" w:hAnsi="楷体_GB2312" w:eastAsia="楷体_GB2312" w:cs="楷体_GB2312"/>
          <w:kern w:val="2"/>
          <w:sz w:val="32"/>
          <w:szCs w:val="32"/>
          <w:highlight w:val="none"/>
          <w:lang w:val="en-US" w:eastAsia="zh-CN" w:bidi="ar-SA"/>
        </w:rPr>
        <w:t>能力。</w:t>
      </w:r>
      <w:r>
        <w:rPr>
          <w:rFonts w:hint="eastAsia" w:ascii="仿宋_GB2312" w:hAnsi="仿宋_GB2312" w:eastAsia="仿宋_GB2312" w:cs="仿宋_GB2312"/>
          <w:color w:val="auto"/>
          <w:kern w:val="2"/>
          <w:sz w:val="32"/>
          <w:szCs w:val="32"/>
          <w:highlight w:val="none"/>
          <w:lang w:val="en-US" w:eastAsia="zh-CN" w:bidi="ar-SA"/>
        </w:rPr>
        <w:t>强化科技创新和产业创新深度融合,</w:t>
      </w:r>
      <w:r>
        <w:rPr>
          <w:rFonts w:hint="eastAsia" w:ascii="仿宋_GB2312" w:hAnsi="仿宋_GB2312" w:eastAsia="仿宋_GB2312" w:cs="仿宋_GB2312"/>
          <w:color w:val="auto"/>
          <w:sz w:val="32"/>
          <w:szCs w:val="32"/>
          <w:highlight w:val="none"/>
          <w:lang w:val="en-US" w:eastAsia="zh-CN"/>
        </w:rPr>
        <w:t>鼓励国家级科技创新平台在革命老区建设分中心、分实验室、基地等分支机构，支持在革命老区建设省重点实验室、省产业技术工程化中心、省技术创新中心等创新平台，深化科研院所、高等学校与革命老区合作，设立研发机构、科技小院等创新载体，布局建设LED光电研究院、煤化工中试基地、晋东南高端装备与大型科研仪器设备共享中心等，靠前就近服务革命老区产业振兴。</w:t>
      </w:r>
      <w:r>
        <w:rPr>
          <w:rFonts w:hint="eastAsia" w:ascii="仿宋_GB2312" w:hAnsi="仿宋_GB2312" w:eastAsia="仿宋_GB2312" w:cs="仿宋_GB2312"/>
          <w:strike w:val="0"/>
          <w:dstrike w:val="0"/>
          <w:color w:val="auto"/>
          <w:sz w:val="32"/>
          <w:szCs w:val="32"/>
          <w:highlight w:val="none"/>
          <w:lang w:val="en-US" w:eastAsia="zh-CN"/>
        </w:rPr>
        <w:t>推动</w:t>
      </w:r>
      <w:r>
        <w:rPr>
          <w:rFonts w:hint="default" w:ascii="仿宋_GB2312" w:hAnsi="仿宋_GB2312" w:eastAsia="仿宋_GB2312" w:cs="仿宋_GB2312"/>
          <w:strike w:val="0"/>
          <w:dstrike w:val="0"/>
          <w:color w:val="auto"/>
          <w:sz w:val="32"/>
          <w:szCs w:val="32"/>
          <w:highlight w:val="none"/>
          <w:lang w:val="en-US" w:eastAsia="zh-CN"/>
        </w:rPr>
        <w:t>革命老区发挥自身优势与发达地区合作建设研发中心，加强先进适用技术供需对接，推动更多科技成果落地转化</w:t>
      </w:r>
      <w:r>
        <w:rPr>
          <w:rFonts w:hint="eastAsia" w:ascii="仿宋_GB2312" w:hAnsi="仿宋_GB2312" w:eastAsia="仿宋_GB2312" w:cs="仿宋_GB2312"/>
          <w:strike w:val="0"/>
          <w:dstrike w:val="0"/>
          <w:color w:val="auto"/>
          <w:sz w:val="32"/>
          <w:szCs w:val="32"/>
          <w:highlight w:val="none"/>
          <w:lang w:val="en-US" w:eastAsia="zh-CN"/>
        </w:rPr>
        <w:t>。支持革命老区申报国家和省重大重点科技计划项目。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bidi="ar-SA"/>
        </w:rPr>
        <w:t>（十四）</w:t>
      </w:r>
      <w:r>
        <w:rPr>
          <w:rFonts w:hint="eastAsia" w:ascii="楷体_GB2312" w:hAnsi="楷体_GB2312" w:eastAsia="楷体_GB2312" w:cs="楷体_GB2312"/>
          <w:sz w:val="32"/>
          <w:szCs w:val="32"/>
          <w:highlight w:val="none"/>
          <w:lang w:val="en-US" w:eastAsia="zh-CN"/>
        </w:rPr>
        <w:t>多渠道强化人才帮扶。</w:t>
      </w:r>
      <w:r>
        <w:rPr>
          <w:rFonts w:hint="default" w:ascii="仿宋_GB2312" w:hAnsi="仿宋_GB2312" w:eastAsia="仿宋_GB2312" w:cs="仿宋_GB2312"/>
          <w:color w:val="auto"/>
          <w:sz w:val="32"/>
          <w:szCs w:val="32"/>
          <w:highlight w:val="none"/>
          <w:lang w:val="en-US" w:eastAsia="zh-CN"/>
        </w:rPr>
        <w:t>加大中央博士服务团</w:t>
      </w:r>
      <w:r>
        <w:rPr>
          <w:rFonts w:hint="eastAsia" w:ascii="仿宋_GB2312" w:hAnsi="仿宋_GB2312" w:eastAsia="仿宋_GB2312" w:cs="仿宋_GB2312"/>
          <w:color w:val="auto"/>
          <w:sz w:val="32"/>
          <w:szCs w:val="32"/>
          <w:highlight w:val="none"/>
          <w:lang w:val="en-US" w:eastAsia="zh-CN"/>
        </w:rPr>
        <w:t>接收支持力度，强化</w:t>
      </w:r>
      <w:r>
        <w:rPr>
          <w:rFonts w:hint="default" w:ascii="仿宋_GB2312" w:hAnsi="仿宋_GB2312" w:eastAsia="仿宋_GB2312" w:cs="仿宋_GB2312"/>
          <w:color w:val="auto"/>
          <w:sz w:val="32"/>
          <w:szCs w:val="32"/>
          <w:highlight w:val="none"/>
          <w:lang w:val="en-US" w:eastAsia="zh-CN"/>
        </w:rPr>
        <w:t>省科技博士服务团选派</w:t>
      </w:r>
      <w:r>
        <w:rPr>
          <w:rFonts w:hint="eastAsia" w:ascii="仿宋_GB2312" w:hAnsi="仿宋_GB2312" w:eastAsia="仿宋_GB2312" w:cs="仿宋_GB2312"/>
          <w:color w:val="auto"/>
          <w:sz w:val="32"/>
          <w:szCs w:val="32"/>
          <w:highlight w:val="none"/>
          <w:lang w:val="en-US" w:eastAsia="zh-CN"/>
        </w:rPr>
        <w:t>，注重从革命老区推荐</w:t>
      </w:r>
      <w:r>
        <w:rPr>
          <w:rFonts w:hint="default" w:ascii="仿宋_GB2312" w:hAnsi="仿宋_GB2312" w:eastAsia="仿宋_GB2312" w:cs="仿宋_GB2312"/>
          <w:color w:val="auto"/>
          <w:sz w:val="32"/>
          <w:szCs w:val="32"/>
          <w:highlight w:val="none"/>
          <w:lang w:val="en-US" w:eastAsia="zh-CN"/>
        </w:rPr>
        <w:t>“西部之光”访问学者。</w:t>
      </w:r>
      <w:r>
        <w:rPr>
          <w:rFonts w:hint="eastAsia" w:ascii="仿宋_GB2312" w:hAnsi="仿宋_GB2312" w:eastAsia="仿宋_GB2312" w:cs="仿宋_GB2312"/>
          <w:color w:val="auto"/>
          <w:sz w:val="32"/>
          <w:szCs w:val="32"/>
          <w:highlight w:val="none"/>
          <w:lang w:val="en-US" w:eastAsia="zh-CN"/>
        </w:rPr>
        <w:t>落实</w:t>
      </w:r>
      <w:r>
        <w:rPr>
          <w:rFonts w:hint="default" w:ascii="仿宋_GB2312" w:hAnsi="仿宋_GB2312" w:eastAsia="仿宋_GB2312" w:cs="仿宋_GB2312"/>
          <w:color w:val="auto"/>
          <w:sz w:val="32"/>
          <w:szCs w:val="32"/>
          <w:highlight w:val="none"/>
          <w:lang w:val="en-US" w:eastAsia="zh-CN"/>
        </w:rPr>
        <w:t>革命老区引进院士兼职政策</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举办全省高层次人才国情研修班，组织开展国情考察</w:t>
      </w:r>
      <w:r>
        <w:rPr>
          <w:rFonts w:hint="eastAsia" w:ascii="仿宋_GB2312" w:hAnsi="仿宋_GB2312" w:eastAsia="仿宋_GB2312" w:cs="仿宋_GB2312"/>
          <w:color w:val="auto"/>
          <w:sz w:val="32"/>
          <w:szCs w:val="32"/>
          <w:highlight w:val="none"/>
          <w:lang w:val="en-US" w:eastAsia="zh-CN"/>
        </w:rPr>
        <w:t>、“智汇山西”</w:t>
      </w:r>
      <w:r>
        <w:rPr>
          <w:rFonts w:hint="default" w:ascii="仿宋_GB2312" w:hAnsi="仿宋_GB2312" w:eastAsia="仿宋_GB2312" w:cs="仿宋_GB2312"/>
          <w:color w:val="auto"/>
          <w:sz w:val="32"/>
          <w:szCs w:val="32"/>
          <w:highlight w:val="none"/>
          <w:lang w:val="en-US" w:eastAsia="zh-CN"/>
        </w:rPr>
        <w:t>等活动</w:t>
      </w:r>
      <w:r>
        <w:rPr>
          <w:rFonts w:hint="eastAsia" w:ascii="仿宋_GB2312" w:hAnsi="仿宋_GB2312" w:eastAsia="仿宋_GB2312" w:cs="仿宋_GB2312"/>
          <w:color w:val="auto"/>
          <w:sz w:val="32"/>
          <w:szCs w:val="32"/>
          <w:highlight w:val="none"/>
          <w:lang w:val="en-US" w:eastAsia="zh-CN"/>
        </w:rPr>
        <w:t>，强化智力支持与合作。</w:t>
      </w:r>
      <w:r>
        <w:rPr>
          <w:rFonts w:hint="default" w:ascii="仿宋_GB2312" w:hAnsi="仿宋_GB2312" w:eastAsia="仿宋_GB2312" w:cs="仿宋_GB2312"/>
          <w:color w:val="auto"/>
          <w:sz w:val="32"/>
          <w:szCs w:val="32"/>
          <w:highlight w:val="none"/>
          <w:lang w:val="en-US" w:eastAsia="zh-CN"/>
        </w:rPr>
        <w:t>加大科技、医疗、教育干部人才“组团式”帮扶力度</w:t>
      </w:r>
      <w:r>
        <w:rPr>
          <w:rFonts w:hint="eastAsia" w:ascii="仿宋_GB2312" w:hAnsi="仿宋_GB2312" w:eastAsia="仿宋_GB2312" w:cs="仿宋_GB2312"/>
          <w:color w:val="auto"/>
          <w:sz w:val="32"/>
          <w:szCs w:val="32"/>
          <w:highlight w:val="none"/>
          <w:lang w:val="en-US" w:eastAsia="zh-CN"/>
        </w:rPr>
        <w:t>，深入推广科技特派员制度。</w:t>
      </w:r>
      <w:r>
        <w:rPr>
          <w:rFonts w:hint="default" w:ascii="仿宋_GB2312" w:hAnsi="仿宋_GB2312" w:eastAsia="仿宋_GB2312" w:cs="仿宋_GB2312"/>
          <w:color w:val="auto"/>
          <w:sz w:val="32"/>
          <w:szCs w:val="32"/>
          <w:highlight w:val="none"/>
          <w:lang w:val="en-US" w:eastAsia="zh-CN"/>
        </w:rPr>
        <w:t>强化“三支一扶”“特岗计划”等支持</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开展“军医老区行”“千名医师强基提能”</w:t>
      </w:r>
      <w:r>
        <w:rPr>
          <w:rFonts w:hint="eastAsia" w:ascii="仿宋_GB2312" w:hAnsi="仿宋_GB2312" w:eastAsia="仿宋_GB2312" w:cs="仿宋_GB2312"/>
          <w:color w:val="auto"/>
          <w:sz w:val="32"/>
          <w:szCs w:val="32"/>
          <w:highlight w:val="none"/>
          <w:lang w:val="en-US" w:eastAsia="zh-CN"/>
        </w:rPr>
        <w:t>等</w:t>
      </w:r>
      <w:r>
        <w:rPr>
          <w:rFonts w:hint="default" w:ascii="仿宋_GB2312" w:hAnsi="仿宋_GB2312" w:eastAsia="仿宋_GB2312" w:cs="仿宋_GB2312"/>
          <w:color w:val="auto"/>
          <w:sz w:val="32"/>
          <w:szCs w:val="32"/>
          <w:highlight w:val="none"/>
          <w:lang w:val="en-US" w:eastAsia="zh-CN"/>
        </w:rPr>
        <w:t>活动。</w:t>
      </w:r>
      <w:r>
        <w:rPr>
          <w:rFonts w:hint="eastAsia" w:ascii="仿宋_GB2312" w:hAnsi="仿宋_GB2312" w:eastAsia="仿宋_GB2312" w:cs="仿宋_GB2312"/>
          <w:color w:val="auto"/>
          <w:sz w:val="32"/>
          <w:szCs w:val="32"/>
          <w:highlight w:val="none"/>
          <w:lang w:val="en-US" w:eastAsia="zh-CN"/>
        </w:rPr>
        <w:t>强化人事管理政策倾斜，支持符合艰苦边远地区条件的革命老区基层事业单位招聘“三放宽一允许”。深化大学生“三下乡”社会实践活动。</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firstLine="640" w:firstLineChars="200"/>
        <w:jc w:val="both"/>
        <w:textAlignment w:val="auto"/>
        <w:outlineLvl w:val="0"/>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六、赓续传承红色血脉</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（十五）</w:t>
      </w:r>
      <w:r>
        <w:rPr>
          <w:rFonts w:hint="eastAsia" w:ascii="楷体_GB2312" w:hAnsi="楷体_GB2312" w:eastAsia="楷体_GB2312" w:cs="楷体_GB2312"/>
          <w:color w:val="000000" w:themeColor="text1"/>
          <w:sz w:val="32"/>
          <w:szCs w:val="32"/>
          <w:highlight w:val="none"/>
          <w14:textFill>
            <w14:solidFill>
              <w14:schemeClr w14:val="tx1"/>
            </w14:solidFill>
          </w14:textFill>
        </w:rPr>
        <w:t>保护红色资源。</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完善红色资源保护传承相关法律制度和政策体系。系统推进历史文化资源普查认定，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批次开展革命文物名录认定公布工作，</w:t>
      </w:r>
      <w:r>
        <w:rPr>
          <w:rFonts w:hint="eastAsia" w:ascii="仿宋_GB2312" w:hAnsi="仿宋_GB2312" w:eastAsia="仿宋_GB2312" w:cs="仿宋_GB2312"/>
          <w:color w:val="000000" w:themeColor="text1"/>
          <w:sz w:val="32"/>
          <w:szCs w:val="32"/>
          <w:highlight w:val="none"/>
          <w14:textFill>
            <w14:solidFill>
              <w14:schemeClr w14:val="tx1"/>
            </w14:solidFill>
          </w14:textFill>
        </w:rPr>
        <w:t>落实最小干预原则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，全面</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实施革命文物保护利用工程，</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用好文物挂牌保护机制，</w:t>
      </w:r>
      <w:r>
        <w:rPr>
          <w:rFonts w:hint="eastAsia" w:ascii="仿宋_GB2312" w:hAnsi="仿宋_GB2312" w:eastAsia="仿宋_GB2312" w:cs="仿宋_GB2312"/>
          <w:color w:val="000000" w:themeColor="text1"/>
          <w:sz w:val="32"/>
          <w:szCs w:val="32"/>
          <w:highlight w:val="none"/>
          <w14:textFill>
            <w14:solidFill>
              <w14:schemeClr w14:val="tx1"/>
            </w14:solidFill>
          </w14:textFill>
        </w:rPr>
        <w:t>整体保护革命旧址及其历史环境，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推进</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革命文物连片保护与整体展示，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守护</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抗战历史文脉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强化革命博物馆、纪念馆、党史馆、烈士陵园等党和国家红色基因库运营维护。</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推动私有产权革命文物依法保护和规范流转。</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（十六）</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讲好红色故事。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发挥省哲学社会科学规划课题示范引导作用，加强晋察冀、晋绥、晋冀鲁豫等革命根据地历史研究，深化太行、吕梁、右玉等精神研究宣传阐释。系统挖掘、创新利用革命历史档案、文物、口述史等资源，构建红色语料库，用好“文化中国行”等专栏，统筹传统和新媒体平台，打造红色文化传播矩阵，讲好抗战故事。大力支持红色题材艺术作品创作，指导推动《太行谣》等在央视播出。支持八路军太行纪念馆·山西大学国家革命文物协同研究中心建设红色资源研究高地。</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（十七）</w:t>
      </w:r>
      <w:r>
        <w:rPr>
          <w:rFonts w:hint="eastAsia" w:ascii="楷体_GB2312" w:hAnsi="楷体_GB2312" w:eastAsia="楷体_GB2312" w:cs="楷体_GB2312"/>
          <w:color w:val="000000" w:themeColor="text1"/>
          <w:sz w:val="32"/>
          <w:szCs w:val="32"/>
          <w:highlight w:val="none"/>
          <w14:textFill>
            <w14:solidFill>
              <w14:schemeClr w14:val="tx1"/>
            </w14:solidFill>
          </w14:textFill>
        </w:rPr>
        <w:t>加强红色教育。</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推进各级党校、干部学院、团校结合当地红色资源开展教育培训，加强右玉、太行、阳泉等党性教育干部学院建设，提升办学质量和辐射能力。发挥好</w:t>
      </w:r>
      <w:r>
        <w:rPr>
          <w:rFonts w:hint="eastAsia" w:ascii="仿宋_GB2312" w:hAnsi="仿宋_GB2312" w:eastAsia="仿宋_GB2312" w:cs="仿宋_GB2312"/>
          <w:color w:val="000000" w:themeColor="text1"/>
          <w:sz w:val="32"/>
          <w:szCs w:val="32"/>
          <w:highlight w:val="none"/>
          <w14:textFill>
            <w14:solidFill>
              <w14:schemeClr w14:val="tx1"/>
            </w14:solidFill>
          </w14:textFill>
        </w:rPr>
        <w:t>革命传统教育、爱国主义教育、青少年思想道德教育基地和国防动员教育基地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等场所红色教育功能，打造高水平特色化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“大思政课”实践教学基地，建立和完善校馆协同机制，推出红色主题研学线路，构建“晋脉薪火”实践育人网络。支持围绕中国共产党成立、抗日战争胜利等重大历史事件时间节点举办相关活动。</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firstLine="640" w:firstLineChars="200"/>
        <w:jc w:val="both"/>
        <w:textAlignment w:val="auto"/>
        <w:outlineLvl w:val="0"/>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七、</w:t>
      </w:r>
      <w:r>
        <w:rPr>
          <w:rFonts w:hint="eastAsia" w:ascii="黑体" w:hAnsi="黑体" w:eastAsia="黑体" w:cs="黑体"/>
          <w:color w:val="000000" w:themeColor="text1"/>
          <w:sz w:val="32"/>
          <w:szCs w:val="32"/>
          <w:highlight w:val="none"/>
          <w:lang w:eastAsia="zh-CN"/>
          <w14:textFill>
            <w14:solidFill>
              <w14:schemeClr w14:val="tx1"/>
            </w14:solidFill>
          </w14:textFill>
        </w:rPr>
        <w:t>完善支持保障体系</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（十八）</w:t>
      </w:r>
      <w:r>
        <w:rPr>
          <w:rFonts w:hint="eastAsia" w:ascii="楷体_GB2312" w:hAnsi="楷体_GB2312" w:eastAsia="楷体_GB2312" w:cs="楷体_GB2312"/>
          <w:color w:val="000000" w:themeColor="text1"/>
          <w:sz w:val="32"/>
          <w:szCs w:val="32"/>
          <w:highlight w:val="none"/>
          <w14:textFill>
            <w14:solidFill>
              <w14:schemeClr w14:val="tx1"/>
            </w14:solidFill>
          </w14:textFill>
        </w:rPr>
        <w:t>强化政策支持。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按程序</w:t>
      </w:r>
      <w:r>
        <w:rPr>
          <w:rFonts w:hint="eastAsia" w:ascii="仿宋_GB2312" w:hAnsi="仿宋_GB2312" w:eastAsia="仿宋_GB2312" w:cs="仿宋_GB2312"/>
          <w:color w:val="000000" w:themeColor="text1"/>
          <w:sz w:val="32"/>
          <w:szCs w:val="32"/>
          <w:highlight w:val="none"/>
          <w14:textFill>
            <w14:solidFill>
              <w14:schemeClr w14:val="tx1"/>
            </w14:solidFill>
          </w14:textFill>
        </w:rPr>
        <w:t>将符合条件的革命老区纳入重点生态功能区、能源资源富集区、历史文化资源富集区等特殊区域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，完善支持政策和考核评价机制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加强对革命老区重大基础设施、重点民生工程、重要产业项目的资源要素保障，积极争取国家用地、用林计划指标。鼓励革命老区在跨行政区合作、城乡融合发展、生态保护补偿等领域先行先试。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深化与央企全方位战略合作，引导省属企业在革命老区深度布局发展，常态化深入推进“万企兴万村”山西行动，鼓励民营企业先富促共富到革命老区投资兴业。</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充分发挥各级革命老区建设促进会作用。</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（十九）</w:t>
      </w:r>
      <w:r>
        <w:rPr>
          <w:rFonts w:hint="eastAsia" w:ascii="楷体_GB2312" w:hAnsi="楷体_GB2312" w:eastAsia="楷体_GB2312" w:cs="楷体_GB2312"/>
          <w:color w:val="000000" w:themeColor="text1"/>
          <w:sz w:val="32"/>
          <w:szCs w:val="32"/>
          <w:highlight w:val="none"/>
          <w14:textFill>
            <w14:solidFill>
              <w14:schemeClr w14:val="tx1"/>
            </w14:solidFill>
          </w14:textFill>
        </w:rPr>
        <w:t>加大资金投入。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统筹用好中央和省级革命老区转移支付、中央专项彩票公益金等资金渠道，用足用好中央投资对革命老区差异化补助政策。强化中央有关资金和省级财政联动配套，通过贷款贴息方式支持符合革命老区产业发展方向和国家支持政策的企业投资项目。争取交通运输领域重点项目资金、专项资金和民航发展基金等，加快完善革命老区综合交通运输体系。用好用足结构性货币政策工具，激励引导金融机构创新创优金融产品和服务，深化农村信用体系建设，加大信贷支持力度。加强政府、国企对革命老区投资项目全流程监管。支持符合条件的革命老区重点企业上市融资。持续开展“期货+保险”项目，助力农户稳收增收。</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eastAsia" w:ascii="楷体" w:hAnsi="楷体" w:eastAsia="楷体" w:cs="楷体"/>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（二十）</w:t>
      </w:r>
      <w:r>
        <w:rPr>
          <w:rFonts w:hint="eastAsia" w:ascii="楷体_GB2312" w:hAnsi="楷体_GB2312" w:eastAsia="楷体_GB2312" w:cs="楷体_GB2312"/>
          <w:color w:val="000000" w:themeColor="text1"/>
          <w:sz w:val="32"/>
          <w:szCs w:val="32"/>
          <w:highlight w:val="none"/>
          <w14:textFill>
            <w14:solidFill>
              <w14:schemeClr w14:val="tx1"/>
            </w14:solidFill>
          </w14:textFill>
        </w:rPr>
        <w:t>完善合作机制。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强化向上对接，积极争取中央和国家机关选派干部到山西革命老区挂职。加强与中央在晋定点帮扶单位的综合协调和联络服务，发挥好中央单位帮扶优势和帮扶干部桥梁纽带作用。借鉴“山海协作”经验，研究推动省内经济强县与发展相对落后的革命老区县开展结对帮扶。支持长治市深化北京、长治两地干部人才交流和培训机制，探索干部培育新模式。</w:t>
      </w:r>
      <w:bookmarkStart w:id="1" w:name="_GoBack"/>
      <w:bookmarkEnd w:id="1"/>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八、</w:t>
      </w:r>
      <w:r>
        <w:rPr>
          <w:rFonts w:hint="eastAsia" w:ascii="黑体" w:hAnsi="黑体" w:eastAsia="黑体" w:cs="黑体"/>
          <w:color w:val="000000" w:themeColor="text1"/>
          <w:sz w:val="32"/>
          <w:szCs w:val="32"/>
          <w:highlight w:val="none"/>
          <w14:textFill>
            <w14:solidFill>
              <w14:schemeClr w14:val="tx1"/>
            </w14:solidFill>
          </w14:textFill>
        </w:rPr>
        <w:t>加强组织实施</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default"/>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各级各有关部门要将革命老区振兴发展列为重点工作，结合实际抓好贯彻落实。各市党委、政府要加强组织领导，明确任务分工，层层压实责任。省有关部门要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结合</w:t>
      </w:r>
      <w:r>
        <w:rPr>
          <w:rFonts w:hint="eastAsia" w:ascii="仿宋_GB2312" w:hAnsi="仿宋_GB2312" w:eastAsia="仿宋_GB2312" w:cs="仿宋_GB2312"/>
          <w:color w:val="000000" w:themeColor="text1"/>
          <w:sz w:val="32"/>
          <w:szCs w:val="32"/>
          <w:highlight w:val="none"/>
          <w14:textFill>
            <w14:solidFill>
              <w14:schemeClr w14:val="tx1"/>
            </w14:solidFill>
          </w14:textFill>
        </w:rPr>
        <w:t>职责任务，细化</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路径</w:t>
      </w:r>
      <w:r>
        <w:rPr>
          <w:rFonts w:hint="eastAsia" w:ascii="仿宋_GB2312" w:hAnsi="仿宋_GB2312" w:eastAsia="仿宋_GB2312" w:cs="仿宋_GB2312"/>
          <w:color w:val="000000" w:themeColor="text1"/>
          <w:sz w:val="32"/>
          <w:szCs w:val="32"/>
          <w:highlight w:val="none"/>
          <w14:textFill>
            <w14:solidFill>
              <w14:schemeClr w14:val="tx1"/>
            </w14:solidFill>
          </w14:textFill>
        </w:rPr>
        <w:t>举措，</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加大宣传力度，为革命老区</w:t>
      </w:r>
      <w:r>
        <w:rPr>
          <w:rFonts w:hint="eastAsia" w:ascii="仿宋_GB2312" w:hAnsi="仿宋_GB2312" w:eastAsia="仿宋_GB2312" w:cs="仿宋_GB2312"/>
          <w:b w:val="0"/>
          <w:sz w:val="32"/>
          <w:szCs w:val="32"/>
          <w:highlight w:val="none"/>
        </w:rPr>
        <w:t>项目和资金落实提供有力保障。</w:t>
      </w:r>
      <w:r>
        <w:rPr>
          <w:rFonts w:hint="eastAsia" w:ascii="仿宋_GB2312" w:hAnsi="仿宋_GB2312" w:eastAsia="仿宋_GB2312" w:cs="仿宋_GB2312"/>
          <w:color w:val="000000" w:themeColor="text1"/>
          <w:sz w:val="32"/>
          <w:szCs w:val="32"/>
          <w:highlight w:val="none"/>
          <w14:textFill>
            <w14:solidFill>
              <w14:schemeClr w14:val="tx1"/>
            </w14:solidFill>
          </w14:textFill>
        </w:rPr>
        <w:t>省发展改革委要加强统筹协调，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强化成效评估，跟踪实施情况，及时通报进展。</w:t>
      </w:r>
      <w:r>
        <w:rPr>
          <w:rFonts w:hint="eastAsia" w:ascii="仿宋_GB2312" w:hAnsi="仿宋_GB2312" w:eastAsia="仿宋_GB2312" w:cs="仿宋_GB2312"/>
          <w:color w:val="000000" w:themeColor="text1"/>
          <w:sz w:val="32"/>
          <w:szCs w:val="32"/>
          <w:highlight w:val="none"/>
          <w14:textFill>
            <w14:solidFill>
              <w14:schemeClr w14:val="tx1"/>
            </w14:solidFill>
          </w14:textFill>
        </w:rPr>
        <w:t>重大事项及时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按程序</w:t>
      </w:r>
      <w:r>
        <w:rPr>
          <w:rFonts w:hint="eastAsia" w:ascii="仿宋_GB2312" w:hAnsi="仿宋_GB2312" w:eastAsia="仿宋_GB2312" w:cs="仿宋_GB2312"/>
          <w:color w:val="000000" w:themeColor="text1"/>
          <w:sz w:val="32"/>
          <w:szCs w:val="32"/>
          <w:highlight w:val="none"/>
          <w14:textFill>
            <w14:solidFill>
              <w14:schemeClr w14:val="tx1"/>
            </w14:solidFill>
          </w14:textFill>
        </w:rPr>
        <w:t>向省委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省政府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请示</w:t>
      </w:r>
      <w:r>
        <w:rPr>
          <w:rFonts w:hint="eastAsia" w:ascii="仿宋_GB2312" w:hAnsi="仿宋_GB2312" w:eastAsia="仿宋_GB2312" w:cs="仿宋_GB2312"/>
          <w:color w:val="000000" w:themeColor="text1"/>
          <w:sz w:val="32"/>
          <w:szCs w:val="32"/>
          <w:highlight w:val="none"/>
          <w14:textFill>
            <w14:solidFill>
              <w14:schemeClr w14:val="tx1"/>
            </w14:solidFill>
          </w14:textFill>
        </w:rPr>
        <w:t>报告。</w:t>
      </w:r>
    </w:p>
    <w:sectPr>
      <w:footerReference r:id="rId3" w:type="default"/>
      <w:pgSz w:w="11906" w:h="16838"/>
      <w:pgMar w:top="1871" w:right="1531" w:bottom="187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503050405090304"/>
    <w:charset w:val="CC"/>
    <w:family w:val="auto"/>
    <w:pitch w:val="default"/>
    <w:sig w:usb0="00000000" w:usb1="00000000"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2000000" w:usb3="00000000" w:csb0="2000019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F09AD7"/>
    <w:multiLevelType w:val="multilevel"/>
    <w:tmpl w:val="68F09AD7"/>
    <w:lvl w:ilvl="0" w:tentative="0">
      <w:start w:val="1"/>
      <w:numFmt w:val="chineseCounting"/>
      <w:pStyle w:val="3"/>
      <w:suff w:val="nothing"/>
      <w:lvlText w:val="%1、"/>
      <w:lvlJc w:val="left"/>
      <w:pPr>
        <w:tabs>
          <w:tab w:val="left" w:pos="0"/>
        </w:tabs>
        <w:ind w:left="600" w:leftChars="0" w:firstLine="714" w:firstLineChars="0"/>
      </w:pPr>
      <w:rPr>
        <w:rFonts w:hint="eastAsia"/>
      </w:rPr>
    </w:lvl>
    <w:lvl w:ilvl="1" w:tentative="0">
      <w:start w:val="1"/>
      <w:numFmt w:val="chineseCounting"/>
      <w:suff w:val="nothing"/>
      <w:lvlText w:val="（%2）"/>
      <w:lvlJc w:val="left"/>
      <w:pPr>
        <w:tabs>
          <w:tab w:val="left" w:pos="0"/>
        </w:tabs>
        <w:ind w:left="-239" w:firstLine="40"/>
      </w:pPr>
      <w:rPr>
        <w:rFonts w:hint="eastAsia"/>
      </w:rPr>
    </w:lvl>
    <w:lvl w:ilvl="2" w:tentative="0">
      <w:start w:val="1"/>
      <w:numFmt w:val="decimal"/>
      <w:suff w:val="nothing"/>
      <w:lvlText w:val="%3．"/>
      <w:lvlJc w:val="left"/>
      <w:pPr>
        <w:tabs>
          <w:tab w:val="left" w:pos="0"/>
        </w:tabs>
        <w:ind w:left="600" w:firstLine="40"/>
      </w:pPr>
      <w:rPr>
        <w:rFonts w:hint="eastAsia"/>
        <w:sz w:val="32"/>
        <w:szCs w:val="32"/>
      </w:rPr>
    </w:lvl>
    <w:lvl w:ilvl="3" w:tentative="0">
      <w:start w:val="1"/>
      <w:numFmt w:val="decimal"/>
      <w:suff w:val="nothing"/>
      <w:lvlText w:val="（%4）"/>
      <w:lvlJc w:val="left"/>
      <w:pPr>
        <w:ind w:left="600" w:firstLine="40"/>
      </w:pPr>
      <w:rPr>
        <w:rFonts w:hint="eastAsia" w:ascii="Times New Roman" w:hAnsi="Times New Roman" w:cs="Times New Roman"/>
        <w:sz w:val="32"/>
        <w:szCs w:val="32"/>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44A83"/>
    <w:rsid w:val="002654DE"/>
    <w:rsid w:val="006D0CE9"/>
    <w:rsid w:val="02445A7A"/>
    <w:rsid w:val="039E740C"/>
    <w:rsid w:val="03AC12AA"/>
    <w:rsid w:val="04460EE7"/>
    <w:rsid w:val="04B9492C"/>
    <w:rsid w:val="04EF43C3"/>
    <w:rsid w:val="05726DA2"/>
    <w:rsid w:val="06A44D39"/>
    <w:rsid w:val="07527B34"/>
    <w:rsid w:val="092D0F46"/>
    <w:rsid w:val="0A6309C6"/>
    <w:rsid w:val="0B2428ED"/>
    <w:rsid w:val="0BBF9448"/>
    <w:rsid w:val="0BF545A7"/>
    <w:rsid w:val="0BF751B0"/>
    <w:rsid w:val="0C7E602C"/>
    <w:rsid w:val="0C8D69A8"/>
    <w:rsid w:val="0C9264A8"/>
    <w:rsid w:val="0DBA24B0"/>
    <w:rsid w:val="0DC70935"/>
    <w:rsid w:val="0E467CC3"/>
    <w:rsid w:val="0EFC4DFF"/>
    <w:rsid w:val="0F1258E1"/>
    <w:rsid w:val="0F8C5F99"/>
    <w:rsid w:val="13826402"/>
    <w:rsid w:val="141063F7"/>
    <w:rsid w:val="15436065"/>
    <w:rsid w:val="1653052A"/>
    <w:rsid w:val="16F47617"/>
    <w:rsid w:val="17591B70"/>
    <w:rsid w:val="183B1275"/>
    <w:rsid w:val="18784278"/>
    <w:rsid w:val="18F7519C"/>
    <w:rsid w:val="18FC6C57"/>
    <w:rsid w:val="195C5A1A"/>
    <w:rsid w:val="1C0512B6"/>
    <w:rsid w:val="1C461BF2"/>
    <w:rsid w:val="1CD5442F"/>
    <w:rsid w:val="1CEF77DE"/>
    <w:rsid w:val="1CFF5AFA"/>
    <w:rsid w:val="1D091942"/>
    <w:rsid w:val="1D48348B"/>
    <w:rsid w:val="1DCEBC48"/>
    <w:rsid w:val="1F273522"/>
    <w:rsid w:val="1F563E5E"/>
    <w:rsid w:val="1F9B5288"/>
    <w:rsid w:val="201B291E"/>
    <w:rsid w:val="205E52D1"/>
    <w:rsid w:val="20D14525"/>
    <w:rsid w:val="216C7072"/>
    <w:rsid w:val="22E1799D"/>
    <w:rsid w:val="2316377F"/>
    <w:rsid w:val="231E34C6"/>
    <w:rsid w:val="23291696"/>
    <w:rsid w:val="23DB6657"/>
    <w:rsid w:val="24867D0E"/>
    <w:rsid w:val="254C3C61"/>
    <w:rsid w:val="259E41C0"/>
    <w:rsid w:val="25DF19E6"/>
    <w:rsid w:val="25FB1F0D"/>
    <w:rsid w:val="26485289"/>
    <w:rsid w:val="26D208D4"/>
    <w:rsid w:val="273677D8"/>
    <w:rsid w:val="275D67D4"/>
    <w:rsid w:val="282412E8"/>
    <w:rsid w:val="292A6EC8"/>
    <w:rsid w:val="2AEA2DB3"/>
    <w:rsid w:val="2B5D3585"/>
    <w:rsid w:val="2B5D4089"/>
    <w:rsid w:val="2C2E6CCF"/>
    <w:rsid w:val="2C3F1827"/>
    <w:rsid w:val="2CBF201D"/>
    <w:rsid w:val="2D3213B0"/>
    <w:rsid w:val="2D7828F8"/>
    <w:rsid w:val="2E051CB2"/>
    <w:rsid w:val="2F3F0ED9"/>
    <w:rsid w:val="2FE778C1"/>
    <w:rsid w:val="2FE80F35"/>
    <w:rsid w:val="307D3D1C"/>
    <w:rsid w:val="30A13E8F"/>
    <w:rsid w:val="31624A09"/>
    <w:rsid w:val="326833B8"/>
    <w:rsid w:val="32F7FA78"/>
    <w:rsid w:val="33264BA4"/>
    <w:rsid w:val="33274478"/>
    <w:rsid w:val="33751688"/>
    <w:rsid w:val="33B7448F"/>
    <w:rsid w:val="33E75254"/>
    <w:rsid w:val="34D02AAA"/>
    <w:rsid w:val="34F32864"/>
    <w:rsid w:val="36CA624F"/>
    <w:rsid w:val="36D76309"/>
    <w:rsid w:val="3714229F"/>
    <w:rsid w:val="37971BCD"/>
    <w:rsid w:val="37A593D1"/>
    <w:rsid w:val="37D31BFE"/>
    <w:rsid w:val="38B16CBE"/>
    <w:rsid w:val="39730A51"/>
    <w:rsid w:val="3AFEBEB9"/>
    <w:rsid w:val="3B96806C"/>
    <w:rsid w:val="3BBD3DDD"/>
    <w:rsid w:val="3BD973CB"/>
    <w:rsid w:val="3BE70787"/>
    <w:rsid w:val="3C674C94"/>
    <w:rsid w:val="3D2905A9"/>
    <w:rsid w:val="3D5D4D3B"/>
    <w:rsid w:val="3DF31B27"/>
    <w:rsid w:val="3DFA37F1"/>
    <w:rsid w:val="3E102D28"/>
    <w:rsid w:val="3E690C74"/>
    <w:rsid w:val="3F9B0099"/>
    <w:rsid w:val="3FB5617C"/>
    <w:rsid w:val="3FBEF0F7"/>
    <w:rsid w:val="3FEE6372"/>
    <w:rsid w:val="3FFF0A44"/>
    <w:rsid w:val="3FFF0C57"/>
    <w:rsid w:val="404F3058"/>
    <w:rsid w:val="407647CE"/>
    <w:rsid w:val="40AE7F87"/>
    <w:rsid w:val="40E718C2"/>
    <w:rsid w:val="40F0234E"/>
    <w:rsid w:val="42310E70"/>
    <w:rsid w:val="42BA2C13"/>
    <w:rsid w:val="42F110E7"/>
    <w:rsid w:val="434A3F97"/>
    <w:rsid w:val="435B61A4"/>
    <w:rsid w:val="43A049F8"/>
    <w:rsid w:val="43EE526A"/>
    <w:rsid w:val="45982E36"/>
    <w:rsid w:val="45C16A25"/>
    <w:rsid w:val="462211FB"/>
    <w:rsid w:val="469B17E5"/>
    <w:rsid w:val="49153299"/>
    <w:rsid w:val="491868E5"/>
    <w:rsid w:val="49FC1EF0"/>
    <w:rsid w:val="4A4F27DB"/>
    <w:rsid w:val="4A5D336F"/>
    <w:rsid w:val="4ADF3453"/>
    <w:rsid w:val="4B2D6C97"/>
    <w:rsid w:val="4B3B0AAC"/>
    <w:rsid w:val="4C0373D9"/>
    <w:rsid w:val="4CAB4042"/>
    <w:rsid w:val="4D1D1077"/>
    <w:rsid w:val="4E7D59F7"/>
    <w:rsid w:val="4EAE4DA6"/>
    <w:rsid w:val="4FDB0BF1"/>
    <w:rsid w:val="4FFA27D1"/>
    <w:rsid w:val="50724B2D"/>
    <w:rsid w:val="538E48DD"/>
    <w:rsid w:val="54BE6593"/>
    <w:rsid w:val="54BF40B9"/>
    <w:rsid w:val="54CC7F68"/>
    <w:rsid w:val="54EED06F"/>
    <w:rsid w:val="55942D51"/>
    <w:rsid w:val="5633275D"/>
    <w:rsid w:val="56424FA2"/>
    <w:rsid w:val="57346FE0"/>
    <w:rsid w:val="574F3E1A"/>
    <w:rsid w:val="57763155"/>
    <w:rsid w:val="57A001D2"/>
    <w:rsid w:val="57BDF2EC"/>
    <w:rsid w:val="57EF20A1"/>
    <w:rsid w:val="57FA46A9"/>
    <w:rsid w:val="5831588C"/>
    <w:rsid w:val="58490869"/>
    <w:rsid w:val="58D77370"/>
    <w:rsid w:val="590824D3"/>
    <w:rsid w:val="5939268C"/>
    <w:rsid w:val="59596593"/>
    <w:rsid w:val="5A731BCE"/>
    <w:rsid w:val="5A8F038B"/>
    <w:rsid w:val="5AAAF9D4"/>
    <w:rsid w:val="5B13F321"/>
    <w:rsid w:val="5B2F5BCE"/>
    <w:rsid w:val="5B783FF8"/>
    <w:rsid w:val="5B7E4CCE"/>
    <w:rsid w:val="5B995664"/>
    <w:rsid w:val="5BB15E61"/>
    <w:rsid w:val="5BFFFB72"/>
    <w:rsid w:val="5C302D7B"/>
    <w:rsid w:val="5CFDF762"/>
    <w:rsid w:val="5D5E4287"/>
    <w:rsid w:val="5DBFDF72"/>
    <w:rsid w:val="5DDBB11D"/>
    <w:rsid w:val="5DFF8A5F"/>
    <w:rsid w:val="5E776CF0"/>
    <w:rsid w:val="5EC821CA"/>
    <w:rsid w:val="5F9C3975"/>
    <w:rsid w:val="5FD27396"/>
    <w:rsid w:val="5FD60252"/>
    <w:rsid w:val="5FDFB650"/>
    <w:rsid w:val="5FF47C30"/>
    <w:rsid w:val="5FFC38FF"/>
    <w:rsid w:val="609C4E4D"/>
    <w:rsid w:val="61581B1D"/>
    <w:rsid w:val="622D4D58"/>
    <w:rsid w:val="6311467A"/>
    <w:rsid w:val="644B7717"/>
    <w:rsid w:val="648A4B93"/>
    <w:rsid w:val="64B50968"/>
    <w:rsid w:val="651954EB"/>
    <w:rsid w:val="65767E03"/>
    <w:rsid w:val="66FEAC88"/>
    <w:rsid w:val="677403BA"/>
    <w:rsid w:val="67DF1D8A"/>
    <w:rsid w:val="67F22B40"/>
    <w:rsid w:val="68925915"/>
    <w:rsid w:val="69D305EF"/>
    <w:rsid w:val="6A113B89"/>
    <w:rsid w:val="6A933BC6"/>
    <w:rsid w:val="6B6BBA51"/>
    <w:rsid w:val="6BD90660"/>
    <w:rsid w:val="6CBC2B97"/>
    <w:rsid w:val="6CFF5361"/>
    <w:rsid w:val="6D633D24"/>
    <w:rsid w:val="6E4B6C92"/>
    <w:rsid w:val="6E9047F2"/>
    <w:rsid w:val="6ED2762E"/>
    <w:rsid w:val="6EDA5B5E"/>
    <w:rsid w:val="6F3D2D87"/>
    <w:rsid w:val="6F706A1A"/>
    <w:rsid w:val="6FBE8878"/>
    <w:rsid w:val="6FC52A74"/>
    <w:rsid w:val="6FEFBBF5"/>
    <w:rsid w:val="6FFFD56C"/>
    <w:rsid w:val="706447A2"/>
    <w:rsid w:val="70DAC714"/>
    <w:rsid w:val="70E470C7"/>
    <w:rsid w:val="715E0A8A"/>
    <w:rsid w:val="71BA21C6"/>
    <w:rsid w:val="72641BC3"/>
    <w:rsid w:val="727B566C"/>
    <w:rsid w:val="731F06ED"/>
    <w:rsid w:val="73DF930B"/>
    <w:rsid w:val="7419145B"/>
    <w:rsid w:val="753B0061"/>
    <w:rsid w:val="757C50F9"/>
    <w:rsid w:val="75E7CF96"/>
    <w:rsid w:val="760F67F7"/>
    <w:rsid w:val="76DC0773"/>
    <w:rsid w:val="76FC37F6"/>
    <w:rsid w:val="771F0CBB"/>
    <w:rsid w:val="77A80CB1"/>
    <w:rsid w:val="77BF4D25"/>
    <w:rsid w:val="77C8182D"/>
    <w:rsid w:val="77DEC8CA"/>
    <w:rsid w:val="77EF1715"/>
    <w:rsid w:val="77F2C108"/>
    <w:rsid w:val="77FC8085"/>
    <w:rsid w:val="77FF3C94"/>
    <w:rsid w:val="783E7867"/>
    <w:rsid w:val="78AF2513"/>
    <w:rsid w:val="79AF21ED"/>
    <w:rsid w:val="7A6F466B"/>
    <w:rsid w:val="7AED7B0B"/>
    <w:rsid w:val="7B7CFE68"/>
    <w:rsid w:val="7BA70677"/>
    <w:rsid w:val="7BAD74E3"/>
    <w:rsid w:val="7BFE2808"/>
    <w:rsid w:val="7C742777"/>
    <w:rsid w:val="7CDF6469"/>
    <w:rsid w:val="7D144A83"/>
    <w:rsid w:val="7D1F37EC"/>
    <w:rsid w:val="7D2F3C22"/>
    <w:rsid w:val="7D4CEE4D"/>
    <w:rsid w:val="7D7F9BCF"/>
    <w:rsid w:val="7DF57A25"/>
    <w:rsid w:val="7DFD260B"/>
    <w:rsid w:val="7DFE6D50"/>
    <w:rsid w:val="7DFEA3FD"/>
    <w:rsid w:val="7E53F7E8"/>
    <w:rsid w:val="7E6B6E4D"/>
    <w:rsid w:val="7E7AD920"/>
    <w:rsid w:val="7EA67F14"/>
    <w:rsid w:val="7EB513EB"/>
    <w:rsid w:val="7EDF5969"/>
    <w:rsid w:val="7EEE954C"/>
    <w:rsid w:val="7EF7FACA"/>
    <w:rsid w:val="7F0F6D94"/>
    <w:rsid w:val="7F174DFC"/>
    <w:rsid w:val="7F6D308F"/>
    <w:rsid w:val="7F7FD69A"/>
    <w:rsid w:val="7FBF3E35"/>
    <w:rsid w:val="7FBF5826"/>
    <w:rsid w:val="7FCEEA9E"/>
    <w:rsid w:val="7FDD7966"/>
    <w:rsid w:val="7FDEBB23"/>
    <w:rsid w:val="7FF52C32"/>
    <w:rsid w:val="7FF71E5B"/>
    <w:rsid w:val="7FFB6B64"/>
    <w:rsid w:val="7FFD0131"/>
    <w:rsid w:val="7FFF01B3"/>
    <w:rsid w:val="7FFF8021"/>
    <w:rsid w:val="8FFB9902"/>
    <w:rsid w:val="9DE7862B"/>
    <w:rsid w:val="A6DD6941"/>
    <w:rsid w:val="ADFD8562"/>
    <w:rsid w:val="B3FFB86C"/>
    <w:rsid w:val="B4674A9A"/>
    <w:rsid w:val="B97E6BE3"/>
    <w:rsid w:val="BBFD3F39"/>
    <w:rsid w:val="BDAB1FE8"/>
    <w:rsid w:val="BDFC9DC4"/>
    <w:rsid w:val="BEDD05DF"/>
    <w:rsid w:val="BEDF6460"/>
    <w:rsid w:val="BF5FBF28"/>
    <w:rsid w:val="BF6EBFF3"/>
    <w:rsid w:val="BF7E2981"/>
    <w:rsid w:val="BFED2109"/>
    <w:rsid w:val="BFFBB0CA"/>
    <w:rsid w:val="C7EE1F66"/>
    <w:rsid w:val="CB65E5F2"/>
    <w:rsid w:val="CDFAE871"/>
    <w:rsid w:val="CF3E9FFF"/>
    <w:rsid w:val="D4D7BE2C"/>
    <w:rsid w:val="D51EA66A"/>
    <w:rsid w:val="D5DC92E7"/>
    <w:rsid w:val="D5FF7CED"/>
    <w:rsid w:val="D6BF3042"/>
    <w:rsid w:val="D7FBF724"/>
    <w:rsid w:val="D7FF89A5"/>
    <w:rsid w:val="DA4CBA26"/>
    <w:rsid w:val="DA7C8259"/>
    <w:rsid w:val="DBF732C9"/>
    <w:rsid w:val="DDE3E583"/>
    <w:rsid w:val="DEF91E88"/>
    <w:rsid w:val="DF5B13B3"/>
    <w:rsid w:val="DF771C49"/>
    <w:rsid w:val="DF7FAF0F"/>
    <w:rsid w:val="DFDF4D04"/>
    <w:rsid w:val="DFEB1896"/>
    <w:rsid w:val="DFFD60B7"/>
    <w:rsid w:val="DFFF07ED"/>
    <w:rsid w:val="E7BDEA3A"/>
    <w:rsid w:val="E7FFF68E"/>
    <w:rsid w:val="EBDBD9BC"/>
    <w:rsid w:val="ECD57DBC"/>
    <w:rsid w:val="ED7BB896"/>
    <w:rsid w:val="ED9F4D4E"/>
    <w:rsid w:val="EDEE9083"/>
    <w:rsid w:val="EDF7A46B"/>
    <w:rsid w:val="EEF7C880"/>
    <w:rsid w:val="EEF9034B"/>
    <w:rsid w:val="EEFF1B8A"/>
    <w:rsid w:val="EF1FE915"/>
    <w:rsid w:val="EFBD6119"/>
    <w:rsid w:val="EFEF2395"/>
    <w:rsid w:val="EFFCD088"/>
    <w:rsid w:val="EFFEACB2"/>
    <w:rsid w:val="F3871A1C"/>
    <w:rsid w:val="F3BFAB05"/>
    <w:rsid w:val="F3EBA5EA"/>
    <w:rsid w:val="F4D347E4"/>
    <w:rsid w:val="F54F4BEB"/>
    <w:rsid w:val="F5A23FAB"/>
    <w:rsid w:val="F697AA59"/>
    <w:rsid w:val="F69B06F0"/>
    <w:rsid w:val="F6F70BF3"/>
    <w:rsid w:val="F7D9C663"/>
    <w:rsid w:val="F7EF0E20"/>
    <w:rsid w:val="F7FDEE9F"/>
    <w:rsid w:val="FAFF0D86"/>
    <w:rsid w:val="FB794445"/>
    <w:rsid w:val="FB9F2E5C"/>
    <w:rsid w:val="FBBFEE6C"/>
    <w:rsid w:val="FBEB13E5"/>
    <w:rsid w:val="FC7EC5D0"/>
    <w:rsid w:val="FCBF34F0"/>
    <w:rsid w:val="FCEF870C"/>
    <w:rsid w:val="FCFB5FE0"/>
    <w:rsid w:val="FDACEFB9"/>
    <w:rsid w:val="FDDDCB40"/>
    <w:rsid w:val="FE7FBB7D"/>
    <w:rsid w:val="FEE62A0B"/>
    <w:rsid w:val="FEE74EDA"/>
    <w:rsid w:val="FEF71D35"/>
    <w:rsid w:val="FEFED933"/>
    <w:rsid w:val="FF1F1ECD"/>
    <w:rsid w:val="FF5FC390"/>
    <w:rsid w:val="FF7FB1F6"/>
    <w:rsid w:val="FFAE6F4C"/>
    <w:rsid w:val="FFED2F09"/>
    <w:rsid w:val="FFF2E4FA"/>
    <w:rsid w:val="FFFFA8D3"/>
    <w:rsid w:val="FFFFE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260" w:after="260" w:line="600" w:lineRule="exact"/>
      <w:ind w:left="600" w:firstLine="714" w:firstLineChars="0"/>
      <w:jc w:val="center"/>
      <w:outlineLvl w:val="0"/>
    </w:pPr>
    <w:rPr>
      <w:rFonts w:ascii="Cambria" w:hAnsi="Cambria" w:eastAsia="黑体" w:cs="Times New Roman"/>
      <w:b/>
      <w:color w:val="000000"/>
      <w:sz w:val="32"/>
      <w:szCs w:val="48"/>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楷体"/>
      <w:b/>
      <w:sz w:val="28"/>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6">
    <w:name w:val="Normal Indent"/>
    <w:basedOn w:val="1"/>
    <w:next w:val="1"/>
    <w:qFormat/>
    <w:uiPriority w:val="0"/>
    <w:pPr>
      <w:spacing w:line="240" w:lineRule="auto"/>
      <w:ind w:firstLine="420"/>
    </w:pPr>
    <w:rPr>
      <w:rFonts w:eastAsia="宋体"/>
      <w:sz w:val="21"/>
      <w:szCs w:val="24"/>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qFormat/>
    <w:uiPriority w:val="0"/>
    <w:pPr>
      <w:snapToGrid w:val="0"/>
      <w:jc w:val="left"/>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footnote reference"/>
    <w:basedOn w:val="13"/>
    <w:qFormat/>
    <w:uiPriority w:val="0"/>
    <w:rPr>
      <w:vertAlign w:val="superscript"/>
    </w:rPr>
  </w:style>
  <w:style w:type="paragraph" w:customStyle="1" w:styleId="17">
    <w:name w:val="TOC2"/>
    <w:basedOn w:val="1"/>
    <w:next w:val="1"/>
    <w:qFormat/>
    <w:uiPriority w:val="0"/>
    <w:pPr>
      <w:ind w:left="420"/>
      <w:jc w:val="center"/>
    </w:pPr>
    <w:rPr>
      <w:rFonts w:ascii="楷体_GB2312" w:eastAsia="楷体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6499</Words>
  <Characters>6511</Characters>
  <Lines>0</Lines>
  <Paragraphs>0</Paragraphs>
  <TotalTime>15</TotalTime>
  <ScaleCrop>false</ScaleCrop>
  <LinksUpToDate>false</LinksUpToDate>
  <CharactersWithSpaces>6514</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2026-03-22T15:39:00Z</dcterms:created>
  <dc:creator>1</dc:creator>
  <cp:lastModifiedBy>greatwall</cp:lastModifiedBy>
  <cp:lastPrinted>2026-03-30T16:37:00Z</cp:lastPrinted>
  <dcterms:modified xsi:type="dcterms:W3CDTF">2026-06-30T17:05:53Z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55CE1E9A65CDBA0569D5EA69B3A8EF25_43</vt:lpwstr>
  </property>
  <property fmtid="{D5CDD505-2E9C-101B-9397-08002B2CF9AE}" pid="4" name="KSOTemplateDocerSaveRecord">
    <vt:lpwstr>eyJoZGlkIjoiNzIwMDU5M2Y2NGI1ZWQyMjgwY2ZiYWYwOWY5MmJjZDYiLCJ1c2VySWQiOiI0ODgwNTMyODUifQ==</vt:lpwstr>
  </property>
</Properties>
</file>