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8DD04"/>
    <w:tbl>
      <w:tblPr>
        <w:tblStyle w:val="7"/>
        <w:tblpPr w:leftFromText="180" w:rightFromText="180" w:vertAnchor="page" w:horzAnchor="page" w:tblpX="1660" w:tblpY="2382"/>
        <w:tblOverlap w:val="never"/>
        <w:tblW w:w="8820" w:type="dxa"/>
        <w:tblInd w:w="0" w:type="dxa"/>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2"/>
        <w:gridCol w:w="4488"/>
      </w:tblGrid>
      <w:tr w14:paraId="6DBB06CC">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4332" w:type="dxa"/>
            <w:noWrap w:val="0"/>
            <w:vAlign w:val="top"/>
          </w:tcPr>
          <w:p w14:paraId="754AD4B6">
            <w:pPr>
              <w:rPr>
                <w:rFonts w:hint="eastAsia" w:ascii="黑体" w:eastAsia="黑体"/>
                <w:spacing w:val="20"/>
                <w:sz w:val="15"/>
                <w:szCs w:val="11"/>
              </w:rPr>
            </w:pPr>
          </w:p>
          <w:p w14:paraId="33E6718C">
            <w:pPr>
              <w:rPr>
                <w:rFonts w:hint="eastAsia" w:ascii="黑体" w:eastAsia="黑体"/>
                <w:spacing w:val="20"/>
                <w:sz w:val="15"/>
                <w:szCs w:val="11"/>
              </w:rPr>
            </w:pPr>
          </w:p>
          <w:p w14:paraId="59DC7427">
            <w:pPr>
              <w:rPr>
                <w:rFonts w:hint="eastAsia" w:ascii="黑体" w:eastAsia="黑体"/>
                <w:spacing w:val="20"/>
                <w:sz w:val="15"/>
                <w:szCs w:val="11"/>
              </w:rPr>
            </w:pPr>
          </w:p>
          <w:p w14:paraId="3931BBAB">
            <w:pPr>
              <w:spacing w:line="280" w:lineRule="atLeast"/>
              <w:jc w:val="left"/>
              <w:rPr>
                <w:rFonts w:ascii="黑体" w:eastAsia="黑体"/>
                <w:sz w:val="32"/>
              </w:rPr>
            </w:pPr>
            <w:r>
              <w:rPr>
                <w:rFonts w:ascii="黑体" w:eastAsia="黑体"/>
                <w:spacing w:val="20"/>
                <w:sz w:val="32"/>
              </w:rPr>
              <w:t>山西省工程建设</w:t>
            </w:r>
            <w:r>
              <w:rPr>
                <w:rFonts w:hint="eastAsia" w:ascii="黑体" w:eastAsia="黑体"/>
                <w:spacing w:val="20"/>
                <w:sz w:val="32"/>
              </w:rPr>
              <w:t>地方标准</w:t>
            </w:r>
          </w:p>
        </w:tc>
        <w:tc>
          <w:tcPr>
            <w:tcW w:w="4488" w:type="dxa"/>
            <w:noWrap w:val="0"/>
            <w:vAlign w:val="top"/>
          </w:tcPr>
          <w:p w14:paraId="7D74CCE9">
            <w:pPr>
              <w:spacing w:before="468" w:beforeLines="150" w:line="600" w:lineRule="exact"/>
              <w:jc w:val="right"/>
              <w:rPr>
                <w:sz w:val="20"/>
              </w:rPr>
            </w:pPr>
            <w:r>
              <w:rPr>
                <w:rFonts w:ascii="Vineta BT" w:hAnsi="Vineta BT"/>
                <w:sz w:val="96"/>
                <w:szCs w:val="28"/>
              </w:rPr>
              <w:t>DB</w:t>
            </w:r>
          </w:p>
        </w:tc>
      </w:tr>
      <w:tr w14:paraId="62B48D62">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820" w:type="dxa"/>
            <w:gridSpan w:val="2"/>
            <w:tcBorders>
              <w:bottom w:val="single" w:color="auto" w:sz="18" w:space="0"/>
            </w:tcBorders>
            <w:noWrap w:val="0"/>
            <w:vAlign w:val="top"/>
          </w:tcPr>
          <w:p w14:paraId="33377A27">
            <w:pPr>
              <w:spacing w:line="240" w:lineRule="atLeast"/>
              <w:jc w:val="right"/>
              <w:rPr>
                <w:rFonts w:hint="eastAsia" w:ascii="黑体" w:hAnsi="黑体" w:eastAsia="黑体"/>
                <w:spacing w:val="20"/>
                <w:sz w:val="28"/>
                <w:szCs w:val="28"/>
                <w:lang w:eastAsia="zh-CN"/>
              </w:rPr>
            </w:pPr>
            <w:bookmarkStart w:id="0" w:name="_Hlk75366545"/>
            <w:r>
              <w:rPr>
                <w:rFonts w:ascii="黑体" w:eastAsia="黑体"/>
                <w:bCs/>
                <w:spacing w:val="20"/>
                <w:sz w:val="28"/>
                <w:szCs w:val="28"/>
              </w:rPr>
              <w:t>DB</w:t>
            </w:r>
            <w:r>
              <w:rPr>
                <w:rFonts w:hint="eastAsia" w:ascii="黑体" w:eastAsia="黑体"/>
                <w:bCs/>
                <w:spacing w:val="20"/>
                <w:sz w:val="28"/>
                <w:szCs w:val="28"/>
              </w:rPr>
              <w:t>J04</w:t>
            </w:r>
            <w:r>
              <w:rPr>
                <w:rFonts w:ascii="黑体" w:eastAsia="黑体"/>
                <w:bCs/>
                <w:spacing w:val="20"/>
                <w:sz w:val="28"/>
                <w:szCs w:val="28"/>
              </w:rPr>
              <w:t>/T***</w:t>
            </w:r>
            <w:r>
              <w:rPr>
                <w:rFonts w:ascii="黑体" w:hAnsi="黑体" w:eastAsia="黑体"/>
                <w:spacing w:val="20"/>
                <w:sz w:val="28"/>
                <w:szCs w:val="28"/>
              </w:rPr>
              <w:t>-</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bookmarkEnd w:id="0"/>
          <w:p w14:paraId="01E781E7">
            <w:pPr>
              <w:spacing w:line="240" w:lineRule="atLeast"/>
              <w:jc w:val="right"/>
              <w:rPr>
                <w:rFonts w:hint="eastAsia" w:ascii="黑体" w:eastAsia="黑体"/>
                <w:sz w:val="28"/>
                <w:szCs w:val="28"/>
                <w:lang w:eastAsia="zh-CN"/>
              </w:rPr>
            </w:pPr>
            <w:r>
              <w:rPr>
                <w:rFonts w:ascii="黑体" w:eastAsia="黑体"/>
                <w:spacing w:val="20"/>
                <w:sz w:val="28"/>
                <w:szCs w:val="28"/>
              </w:rPr>
              <w:t>备案号：J**-</w:t>
            </w:r>
            <w:r>
              <w:rPr>
                <w:rFonts w:hint="eastAsia" w:ascii="黑体" w:eastAsia="黑体"/>
                <w:spacing w:val="20"/>
                <w:sz w:val="28"/>
                <w:szCs w:val="28"/>
              </w:rPr>
              <w:t>202</w:t>
            </w:r>
            <w:r>
              <w:rPr>
                <w:rFonts w:hint="eastAsia" w:ascii="黑体" w:eastAsia="黑体"/>
                <w:spacing w:val="20"/>
                <w:sz w:val="28"/>
                <w:szCs w:val="28"/>
                <w:lang w:val="en-US" w:eastAsia="zh-CN"/>
              </w:rPr>
              <w:t>4</w:t>
            </w:r>
          </w:p>
        </w:tc>
      </w:tr>
      <w:tr w14:paraId="712530FF">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1356" w:hRule="atLeast"/>
        </w:trPr>
        <w:tc>
          <w:tcPr>
            <w:tcW w:w="8820" w:type="dxa"/>
            <w:gridSpan w:val="2"/>
            <w:tcBorders>
              <w:top w:val="nil"/>
              <w:bottom w:val="nil"/>
            </w:tcBorders>
            <w:noWrap w:val="0"/>
            <w:vAlign w:val="bottom"/>
          </w:tcPr>
          <w:p w14:paraId="20632769">
            <w:pPr>
              <w:jc w:val="center"/>
              <w:rPr>
                <w:rFonts w:hint="eastAsia" w:ascii="黑体"/>
                <w:sz w:val="44"/>
                <w:szCs w:val="44"/>
              </w:rPr>
            </w:pPr>
            <w:r>
              <w:rPr>
                <w:rFonts w:hint="eastAsia" w:ascii="黑体" w:eastAsia="黑体"/>
                <w:spacing w:val="20"/>
                <w:sz w:val="44"/>
                <w:szCs w:val="44"/>
                <w:lang w:val="en-US" w:eastAsia="zh-CN"/>
              </w:rPr>
              <w:t>写字楼</w:t>
            </w:r>
            <w:r>
              <w:rPr>
                <w:rFonts w:hint="eastAsia" w:ascii="黑体" w:eastAsia="黑体"/>
                <w:spacing w:val="20"/>
                <w:sz w:val="44"/>
                <w:szCs w:val="44"/>
              </w:rPr>
              <w:t>物业服务标准</w:t>
            </w:r>
          </w:p>
        </w:tc>
      </w:tr>
      <w:tr w14:paraId="510A2BCC">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4465" w:hRule="atLeast"/>
        </w:trPr>
        <w:tc>
          <w:tcPr>
            <w:tcW w:w="8820" w:type="dxa"/>
            <w:gridSpan w:val="2"/>
            <w:tcBorders>
              <w:top w:val="nil"/>
              <w:bottom w:val="nil"/>
            </w:tcBorders>
            <w:noWrap w:val="0"/>
            <w:vAlign w:val="top"/>
          </w:tcPr>
          <w:p w14:paraId="71C9B6B2">
            <w:pPr>
              <w:wordWrap w:val="0"/>
              <w:spacing w:line="360" w:lineRule="atLeast"/>
              <w:jc w:val="center"/>
              <w:rPr>
                <w:b/>
                <w:sz w:val="28"/>
                <w:szCs w:val="28"/>
              </w:rPr>
            </w:pPr>
            <w:bookmarkStart w:id="1" w:name="_Hlk32744911"/>
          </w:p>
          <w:bookmarkEnd w:id="1"/>
          <w:p w14:paraId="70BA66D2">
            <w:pPr>
              <w:jc w:val="center"/>
              <w:rPr>
                <w:rFonts w:hint="eastAsia" w:ascii="黑体" w:eastAsia="黑体"/>
                <w:spacing w:val="20"/>
                <w:sz w:val="28"/>
                <w:szCs w:val="28"/>
                <w:lang w:val="en-US" w:eastAsia="zh-CN"/>
              </w:rPr>
            </w:pPr>
            <w:r>
              <w:rPr>
                <w:rFonts w:hint="eastAsia" w:ascii="黑体" w:eastAsia="黑体"/>
                <w:spacing w:val="20"/>
                <w:sz w:val="28"/>
                <w:szCs w:val="28"/>
                <w:lang w:val="en-US" w:eastAsia="zh-CN"/>
              </w:rPr>
              <w:t xml:space="preserve"> The Property Service Standard of Office Buildings </w:t>
            </w:r>
          </w:p>
          <w:p w14:paraId="328CD5A7">
            <w:pPr>
              <w:spacing w:line="400" w:lineRule="exact"/>
              <w:jc w:val="center"/>
              <w:rPr>
                <w:rFonts w:hint="eastAsia"/>
                <w:bCs/>
                <w:sz w:val="24"/>
                <w:szCs w:val="24"/>
              </w:rPr>
            </w:pPr>
          </w:p>
          <w:p w14:paraId="493BDB4A">
            <w:pPr>
              <w:jc w:val="center"/>
              <w:rPr>
                <w:rFonts w:hint="eastAsia" w:ascii="黑体" w:eastAsia="黑体"/>
                <w:spacing w:val="20"/>
                <w:sz w:val="28"/>
                <w:szCs w:val="28"/>
              </w:rPr>
            </w:pPr>
            <w:r>
              <w:rPr>
                <w:rFonts w:hint="eastAsia" w:ascii="黑体" w:eastAsia="黑体"/>
                <w:spacing w:val="20"/>
                <w:sz w:val="28"/>
                <w:szCs w:val="28"/>
              </w:rPr>
              <w:t>（</w:t>
            </w:r>
            <w:r>
              <w:rPr>
                <w:rFonts w:hint="eastAsia" w:ascii="黑体" w:eastAsia="黑体"/>
                <w:spacing w:val="20"/>
                <w:sz w:val="28"/>
                <w:szCs w:val="28"/>
                <w:lang w:val="en-US" w:eastAsia="zh-CN"/>
              </w:rPr>
              <w:t>征求意见稿</w:t>
            </w:r>
            <w:r>
              <w:rPr>
                <w:rFonts w:hint="eastAsia" w:ascii="黑体" w:eastAsia="黑体"/>
                <w:spacing w:val="20"/>
                <w:sz w:val="28"/>
                <w:szCs w:val="28"/>
              </w:rPr>
              <w:t>）</w:t>
            </w:r>
          </w:p>
          <w:p w14:paraId="0036487C">
            <w:pPr>
              <w:spacing w:line="400" w:lineRule="exact"/>
              <w:jc w:val="center"/>
              <w:rPr>
                <w:b/>
                <w:sz w:val="24"/>
              </w:rPr>
            </w:pPr>
          </w:p>
          <w:p w14:paraId="5637EFD7">
            <w:pPr>
              <w:spacing w:line="400" w:lineRule="exact"/>
              <w:jc w:val="center"/>
              <w:rPr>
                <w:b/>
                <w:sz w:val="24"/>
              </w:rPr>
            </w:pPr>
          </w:p>
          <w:p w14:paraId="3E9104CA">
            <w:pPr>
              <w:spacing w:line="400" w:lineRule="exact"/>
              <w:jc w:val="center"/>
              <w:rPr>
                <w:b/>
                <w:sz w:val="24"/>
              </w:rPr>
            </w:pPr>
          </w:p>
          <w:p w14:paraId="324EEE36">
            <w:pPr>
              <w:spacing w:line="400" w:lineRule="exact"/>
              <w:rPr>
                <w:b/>
                <w:sz w:val="24"/>
              </w:rPr>
            </w:pPr>
          </w:p>
          <w:p w14:paraId="49846649">
            <w:pPr>
              <w:spacing w:line="400" w:lineRule="exact"/>
              <w:rPr>
                <w:b/>
                <w:sz w:val="24"/>
              </w:rPr>
            </w:pPr>
          </w:p>
          <w:p w14:paraId="28C45A7B">
            <w:pPr>
              <w:spacing w:line="400" w:lineRule="exact"/>
              <w:rPr>
                <w:b/>
                <w:sz w:val="24"/>
              </w:rPr>
            </w:pPr>
          </w:p>
        </w:tc>
      </w:tr>
      <w:tr w14:paraId="1669029A">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90" w:hRule="atLeast"/>
        </w:trPr>
        <w:tc>
          <w:tcPr>
            <w:tcW w:w="8820" w:type="dxa"/>
            <w:gridSpan w:val="2"/>
            <w:tcBorders>
              <w:top w:val="nil"/>
            </w:tcBorders>
            <w:noWrap w:val="0"/>
            <w:vAlign w:val="top"/>
          </w:tcPr>
          <w:p w14:paraId="65487D30">
            <w:pPr>
              <w:spacing w:line="400" w:lineRule="exact"/>
              <w:rPr>
                <w:rFonts w:ascii="黑体" w:eastAsia="黑体"/>
                <w:sz w:val="28"/>
                <w:szCs w:val="28"/>
              </w:rPr>
            </w:pPr>
            <w:r>
              <w:rPr>
                <w:rFonts w:hint="eastAsia" w:ascii="黑体" w:eastAsia="黑体"/>
                <w:sz w:val="28"/>
                <w:szCs w:val="28"/>
              </w:rPr>
              <w:t>202</w:t>
            </w:r>
            <w:r>
              <w:rPr>
                <w:rFonts w:hint="eastAsia" w:ascii="黑体" w:eastAsia="黑体"/>
                <w:sz w:val="28"/>
                <w:szCs w:val="28"/>
                <w:lang w:val="en-US" w:eastAsia="zh-CN"/>
              </w:rPr>
              <w:t>4</w:t>
            </w:r>
            <w:r>
              <w:rPr>
                <w:rFonts w:hint="eastAsia" w:ascii="黑体" w:eastAsia="黑体"/>
                <w:sz w:val="28"/>
                <w:szCs w:val="28"/>
              </w:rPr>
              <w:t>-</w:t>
            </w:r>
            <w:r>
              <w:rPr>
                <w:rFonts w:ascii="黑体" w:eastAsia="黑体"/>
                <w:sz w:val="28"/>
                <w:szCs w:val="28"/>
              </w:rPr>
              <w:t xml:space="preserve">**-**  发布          </w:t>
            </w:r>
            <w:r>
              <w:rPr>
                <w:rFonts w:hint="eastAsia" w:ascii="黑体" w:eastAsia="黑体"/>
                <w:sz w:val="28"/>
                <w:szCs w:val="28"/>
              </w:rPr>
              <w:t xml:space="preserve">                  202</w:t>
            </w:r>
            <w:r>
              <w:rPr>
                <w:rFonts w:hint="eastAsia" w:ascii="黑体" w:eastAsia="黑体"/>
                <w:sz w:val="28"/>
                <w:szCs w:val="28"/>
                <w:lang w:val="en-US" w:eastAsia="zh-CN"/>
              </w:rPr>
              <w:t>4</w:t>
            </w:r>
            <w:r>
              <w:rPr>
                <w:rFonts w:ascii="黑体" w:eastAsia="黑体"/>
                <w:sz w:val="28"/>
                <w:szCs w:val="28"/>
              </w:rPr>
              <w:t>-**-**  实施</w:t>
            </w:r>
          </w:p>
        </w:tc>
      </w:tr>
      <w:tr w14:paraId="0DC78B00">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1022" w:hRule="atLeast"/>
        </w:trPr>
        <w:tc>
          <w:tcPr>
            <w:tcW w:w="8820" w:type="dxa"/>
            <w:gridSpan w:val="2"/>
            <w:noWrap w:val="0"/>
            <w:vAlign w:val="bottom"/>
          </w:tcPr>
          <w:p w14:paraId="7EEDD5FC">
            <w:pPr>
              <w:spacing w:before="156" w:beforeLines="50" w:line="500" w:lineRule="exact"/>
              <w:jc w:val="center"/>
              <w:rPr>
                <w:rFonts w:ascii="黑体" w:eastAsia="黑体"/>
                <w:sz w:val="13"/>
                <w:szCs w:val="10"/>
              </w:rPr>
            </w:pPr>
          </w:p>
          <w:p w14:paraId="5C937E29">
            <w:pPr>
              <w:spacing w:before="156" w:beforeLines="50" w:line="500" w:lineRule="exact"/>
              <w:jc w:val="center"/>
            </w:pPr>
            <w:r>
              <w:rPr>
                <w:rFonts w:ascii="黑体" w:eastAsia="黑体"/>
                <w:sz w:val="32"/>
              </w:rPr>
              <w:t>山西省住房和城乡建设厅</w:t>
            </w:r>
            <w:r>
              <w:rPr>
                <w:rFonts w:ascii="黑体" w:eastAsia="黑体"/>
                <w:spacing w:val="20"/>
                <w:sz w:val="32"/>
              </w:rPr>
              <w:t xml:space="preserve"> </w:t>
            </w:r>
            <w:r>
              <w:rPr>
                <w:rFonts w:hint="eastAsia" w:ascii="黑体" w:eastAsia="黑体"/>
                <w:spacing w:val="20"/>
                <w:sz w:val="32"/>
              </w:rPr>
              <w:t xml:space="preserve">  </w:t>
            </w:r>
            <w:r>
              <w:rPr>
                <w:rFonts w:ascii="黑体" w:eastAsia="黑体"/>
                <w:spacing w:val="20"/>
                <w:sz w:val="32"/>
              </w:rPr>
              <w:t>发</w:t>
            </w:r>
            <w:r>
              <w:rPr>
                <w:rFonts w:ascii="黑体" w:eastAsia="黑体"/>
                <w:sz w:val="32"/>
              </w:rPr>
              <w:t>布</w:t>
            </w:r>
          </w:p>
        </w:tc>
      </w:tr>
    </w:tbl>
    <w:p w14:paraId="6BD85C5D"/>
    <w:p w14:paraId="58F7A020"/>
    <w:p w14:paraId="4A8A9254"/>
    <w:p w14:paraId="73C025D3"/>
    <w:p w14:paraId="3BCBBF92"/>
    <w:p w14:paraId="4EBB2625"/>
    <w:p w14:paraId="23981604"/>
    <w:p w14:paraId="365622C0"/>
    <w:p w14:paraId="4B881C89"/>
    <w:p w14:paraId="6DC11C70"/>
    <w:p w14:paraId="2A71CD8D"/>
    <w:p w14:paraId="334F31D2"/>
    <w:p w14:paraId="3CA1A636"/>
    <w:p w14:paraId="22935EF2"/>
    <w:p w14:paraId="2EE1DD44"/>
    <w:p w14:paraId="383072E7"/>
    <w:p w14:paraId="0C98A098"/>
    <w:p w14:paraId="28C7D240"/>
    <w:p w14:paraId="6550EF7E"/>
    <w:p w14:paraId="5FDBE51C"/>
    <w:p w14:paraId="3989C661"/>
    <w:p w14:paraId="7464EF04">
      <w:pPr>
        <w:spacing w:line="360" w:lineRule="auto"/>
        <w:rPr>
          <w:rFonts w:ascii="Times New Roman" w:hAnsi="Times New Roman" w:eastAsia="黑体"/>
          <w:sz w:val="28"/>
        </w:rPr>
      </w:pPr>
    </w:p>
    <w:p w14:paraId="43D75DD4">
      <w:pPr>
        <w:spacing w:line="600" w:lineRule="exact"/>
        <w:ind w:left="-170" w:leftChars="-81" w:right="-128" w:rightChars="-61"/>
        <w:jc w:val="center"/>
        <w:rPr>
          <w:rFonts w:hint="default" w:ascii="Times New Roman" w:hAnsi="Times New Roman" w:eastAsia="黑体"/>
          <w:b/>
          <w:sz w:val="44"/>
          <w:szCs w:val="44"/>
          <w:lang w:val="en-US" w:eastAsia="zh-CN"/>
        </w:rPr>
      </w:pPr>
      <w:r>
        <w:rPr>
          <w:rFonts w:hint="eastAsia" w:ascii="Times New Roman" w:hAnsi="Times New Roman" w:eastAsia="黑体"/>
          <w:b/>
          <w:sz w:val="44"/>
          <w:szCs w:val="44"/>
          <w:lang w:val="en-US" w:eastAsia="zh-CN"/>
        </w:rPr>
        <w:t>写字楼物业服务标准</w:t>
      </w:r>
    </w:p>
    <w:p w14:paraId="4628795C">
      <w:pPr>
        <w:spacing w:line="360" w:lineRule="auto"/>
        <w:jc w:val="center"/>
        <w:rPr>
          <w:rFonts w:ascii="Times New Roman" w:hAnsi="Times New Roman" w:eastAsia="等线"/>
          <w:sz w:val="36"/>
          <w:szCs w:val="36"/>
        </w:rPr>
      </w:pPr>
      <w:bookmarkStart w:id="2" w:name="_Toc260834703"/>
      <w:bookmarkStart w:id="3" w:name="_Toc253473242"/>
      <w:bookmarkStart w:id="4" w:name="_Toc12103323"/>
      <w:bookmarkStart w:id="5" w:name="_Toc260734316"/>
      <w:bookmarkStart w:id="6" w:name="_Toc12101222"/>
      <w:bookmarkStart w:id="7" w:name="_Toc16783193"/>
      <w:bookmarkStart w:id="8" w:name="_Toc14687929"/>
      <w:bookmarkStart w:id="9" w:name="_Toc28875540"/>
      <w:r>
        <w:rPr>
          <w:rFonts w:hint="eastAsia" w:ascii="Times New Roman" w:hAnsi="Times New Roman"/>
          <w:sz w:val="36"/>
          <w:szCs w:val="36"/>
        </w:rPr>
        <w:t>The property service standard of office buildings</w:t>
      </w:r>
    </w:p>
    <w:bookmarkEnd w:id="2"/>
    <w:bookmarkEnd w:id="3"/>
    <w:bookmarkEnd w:id="4"/>
    <w:bookmarkEnd w:id="5"/>
    <w:bookmarkEnd w:id="6"/>
    <w:bookmarkEnd w:id="7"/>
    <w:bookmarkEnd w:id="8"/>
    <w:bookmarkEnd w:id="9"/>
    <w:p w14:paraId="4C6E3CF0">
      <w:pPr>
        <w:spacing w:line="300" w:lineRule="auto"/>
        <w:jc w:val="center"/>
        <w:outlineLvl w:val="0"/>
        <w:rPr>
          <w:rFonts w:hint="eastAsia" w:ascii="Times" w:hAnsi="Times" w:eastAsia="宋体" w:cs="Times"/>
          <w:b/>
          <w:bCs/>
          <w:sz w:val="30"/>
          <w:szCs w:val="30"/>
          <w:lang w:eastAsia="zh-CN"/>
        </w:rPr>
      </w:pPr>
      <w:r>
        <w:rPr>
          <w:rFonts w:hint="eastAsia" w:ascii="Times" w:hAnsi="Times" w:cs="Times"/>
          <w:b/>
          <w:bCs/>
          <w:sz w:val="30"/>
          <w:szCs w:val="30"/>
          <w:lang w:eastAsia="zh-CN"/>
        </w:rPr>
        <w:t>（</w:t>
      </w:r>
      <w:r>
        <w:rPr>
          <w:rFonts w:hint="eastAsia" w:ascii="Times" w:hAnsi="Times" w:cs="Times"/>
          <w:b/>
          <w:bCs/>
          <w:sz w:val="30"/>
          <w:szCs w:val="30"/>
          <w:lang w:val="en-US" w:eastAsia="zh-CN"/>
        </w:rPr>
        <w:t>征求意见稿</w:t>
      </w:r>
      <w:r>
        <w:rPr>
          <w:rFonts w:hint="eastAsia" w:ascii="Times" w:hAnsi="Times" w:cs="Times"/>
          <w:b/>
          <w:bCs/>
          <w:sz w:val="30"/>
          <w:szCs w:val="30"/>
          <w:lang w:eastAsia="zh-CN"/>
        </w:rPr>
        <w:t>）</w:t>
      </w:r>
    </w:p>
    <w:p w14:paraId="2579A3AA">
      <w:pPr>
        <w:spacing w:line="360" w:lineRule="auto"/>
        <w:rPr>
          <w:rFonts w:ascii="Times New Roman" w:hAnsi="Times New Roman" w:eastAsia="仿宋_GB2312"/>
          <w:spacing w:val="60"/>
          <w:sz w:val="28"/>
        </w:rPr>
      </w:pPr>
    </w:p>
    <w:p w14:paraId="6F465AF2">
      <w:pPr>
        <w:spacing w:line="360" w:lineRule="auto"/>
        <w:rPr>
          <w:rFonts w:ascii="Times New Roman" w:hAnsi="Times New Roman" w:eastAsia="仿宋_GB2312"/>
          <w:spacing w:val="60"/>
          <w:sz w:val="28"/>
        </w:rPr>
      </w:pPr>
    </w:p>
    <w:p w14:paraId="0EABB695">
      <w:pPr>
        <w:spacing w:line="360" w:lineRule="auto"/>
        <w:rPr>
          <w:rFonts w:ascii="Times New Roman" w:hAnsi="Times New Roman" w:eastAsia="黑体"/>
          <w:spacing w:val="60"/>
          <w:sz w:val="28"/>
        </w:rPr>
      </w:pPr>
    </w:p>
    <w:p w14:paraId="49FFA4ED">
      <w:pPr>
        <w:spacing w:line="360" w:lineRule="auto"/>
        <w:rPr>
          <w:rFonts w:ascii="Times New Roman" w:hAnsi="Times New Roman" w:eastAsia="黑体"/>
          <w:spacing w:val="60"/>
          <w:sz w:val="28"/>
        </w:rPr>
      </w:pPr>
    </w:p>
    <w:p w14:paraId="06388176">
      <w:pPr>
        <w:spacing w:line="360" w:lineRule="auto"/>
        <w:rPr>
          <w:rFonts w:ascii="Times New Roman" w:hAnsi="Times New Roman" w:eastAsia="黑体"/>
          <w:spacing w:val="60"/>
          <w:sz w:val="28"/>
        </w:rPr>
      </w:pPr>
    </w:p>
    <w:p w14:paraId="1F2FA9AE">
      <w:pPr>
        <w:spacing w:line="360" w:lineRule="auto"/>
        <w:rPr>
          <w:rFonts w:ascii="Times New Roman" w:hAnsi="Times New Roman" w:eastAsia="黑体"/>
          <w:spacing w:val="60"/>
          <w:sz w:val="28"/>
        </w:rPr>
      </w:pPr>
    </w:p>
    <w:p w14:paraId="579CCC1A">
      <w:pPr>
        <w:spacing w:line="360" w:lineRule="auto"/>
        <w:rPr>
          <w:rFonts w:ascii="Times New Roman" w:hAnsi="Times New Roman" w:eastAsia="黑体"/>
          <w:spacing w:val="60"/>
          <w:sz w:val="28"/>
        </w:rPr>
      </w:pPr>
    </w:p>
    <w:p w14:paraId="410891F2">
      <w:pPr>
        <w:spacing w:line="360" w:lineRule="auto"/>
        <w:rPr>
          <w:rFonts w:ascii="Times New Roman" w:hAnsi="Times New Roman" w:eastAsia="黑体"/>
          <w:spacing w:val="60"/>
          <w:sz w:val="28"/>
        </w:rPr>
      </w:pPr>
    </w:p>
    <w:p w14:paraId="6591868A">
      <w:pPr>
        <w:spacing w:line="360" w:lineRule="auto"/>
        <w:rPr>
          <w:rFonts w:ascii="Times New Roman" w:hAnsi="Times New Roman" w:eastAsia="黑体"/>
          <w:spacing w:val="60"/>
          <w:sz w:val="28"/>
        </w:rPr>
      </w:pPr>
    </w:p>
    <w:p w14:paraId="1BC818E6">
      <w:pPr>
        <w:spacing w:line="360" w:lineRule="auto"/>
        <w:rPr>
          <w:rFonts w:ascii="Times New Roman" w:hAnsi="Times New Roman" w:eastAsia="黑体"/>
          <w:spacing w:val="60"/>
          <w:sz w:val="28"/>
        </w:rPr>
      </w:pPr>
    </w:p>
    <w:p w14:paraId="677CF499">
      <w:pPr>
        <w:spacing w:line="360" w:lineRule="auto"/>
        <w:rPr>
          <w:rFonts w:ascii="Times New Roman" w:hAnsi="Times New Roman" w:eastAsia="黑体"/>
          <w:spacing w:val="60"/>
          <w:sz w:val="28"/>
        </w:rPr>
      </w:pPr>
    </w:p>
    <w:p w14:paraId="5580EC27">
      <w:pPr>
        <w:spacing w:line="360" w:lineRule="auto"/>
        <w:rPr>
          <w:rFonts w:ascii="Times New Roman" w:hAnsi="Times New Roman" w:eastAsia="黑体"/>
          <w:spacing w:val="60"/>
          <w:sz w:val="28"/>
        </w:rPr>
      </w:pPr>
    </w:p>
    <w:p w14:paraId="35F6E8C2">
      <w:pPr>
        <w:spacing w:line="360" w:lineRule="auto"/>
        <w:rPr>
          <w:rFonts w:ascii="Times New Roman" w:hAnsi="Times New Roman" w:eastAsia="黑体"/>
          <w:spacing w:val="60"/>
          <w:sz w:val="28"/>
        </w:rPr>
      </w:pPr>
    </w:p>
    <w:p w14:paraId="35FEDF6A">
      <w:pPr>
        <w:spacing w:line="360" w:lineRule="auto"/>
        <w:rPr>
          <w:rFonts w:ascii="Times New Roman" w:hAnsi="Times New Roman" w:eastAsia="黑体"/>
          <w:spacing w:val="60"/>
          <w:sz w:val="28"/>
        </w:rPr>
      </w:pPr>
    </w:p>
    <w:p w14:paraId="3EBF6C36">
      <w:pPr>
        <w:spacing w:line="360" w:lineRule="auto"/>
        <w:rPr>
          <w:rFonts w:ascii="Times New Roman" w:hAnsi="Times New Roman" w:eastAsia="黑体"/>
          <w:spacing w:val="60"/>
          <w:sz w:val="28"/>
        </w:rPr>
      </w:pPr>
    </w:p>
    <w:p w14:paraId="422DE461">
      <w:pPr>
        <w:spacing w:line="360" w:lineRule="auto"/>
        <w:rPr>
          <w:rFonts w:ascii="Times New Roman" w:hAnsi="Times New Roman" w:eastAsia="黑体"/>
          <w:spacing w:val="60"/>
          <w:sz w:val="28"/>
        </w:rPr>
      </w:pPr>
    </w:p>
    <w:p w14:paraId="4AF7A429">
      <w:pPr>
        <w:spacing w:line="360" w:lineRule="auto"/>
        <w:rPr>
          <w:rFonts w:ascii="Times New Roman" w:hAnsi="Times New Roman" w:eastAsia="黑体"/>
          <w:spacing w:val="60"/>
          <w:sz w:val="28"/>
        </w:rPr>
      </w:pPr>
    </w:p>
    <w:p w14:paraId="45DF58A9">
      <w:pPr>
        <w:spacing w:line="360" w:lineRule="auto"/>
        <w:rPr>
          <w:rFonts w:ascii="Times New Roman" w:hAnsi="Times New Roman" w:eastAsia="黑体"/>
          <w:spacing w:val="60"/>
          <w:sz w:val="28"/>
        </w:rPr>
      </w:pPr>
    </w:p>
    <w:p w14:paraId="65184D10">
      <w:pPr>
        <w:spacing w:line="360" w:lineRule="auto"/>
        <w:rPr>
          <w:rFonts w:ascii="Times New Roman" w:hAnsi="Times New Roman" w:eastAsia="黑体"/>
          <w:spacing w:val="60"/>
          <w:sz w:val="28"/>
        </w:rPr>
      </w:pPr>
    </w:p>
    <w:p w14:paraId="3E3261A5">
      <w:pPr>
        <w:spacing w:line="360" w:lineRule="auto"/>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山西省房地产业协会</w:t>
      </w:r>
    </w:p>
    <w:p w14:paraId="759375BA">
      <w:pPr>
        <w:spacing w:line="300" w:lineRule="auto"/>
        <w:jc w:val="center"/>
        <w:outlineLvl w:val="0"/>
        <w:rPr>
          <w:rFonts w:ascii="Times New Roman" w:hAnsi="Times New Roman"/>
          <w:b/>
          <w:sz w:val="28"/>
        </w:rPr>
      </w:pPr>
      <w:bookmarkStart w:id="10" w:name="_Toc9958"/>
      <w:bookmarkStart w:id="11" w:name="_Toc16622"/>
      <w:bookmarkStart w:id="12" w:name="_Toc13938"/>
      <w:bookmarkStart w:id="13" w:name="_Toc26993"/>
      <w:bookmarkStart w:id="14" w:name="_Toc10224"/>
      <w:bookmarkStart w:id="15" w:name="_Toc15269"/>
      <w:r>
        <w:rPr>
          <w:rFonts w:ascii="Times New Roman" w:hAnsi="Times New Roman"/>
          <w:b/>
          <w:sz w:val="28"/>
        </w:rPr>
        <w:t>202</w:t>
      </w:r>
      <w:r>
        <w:rPr>
          <w:rFonts w:hint="eastAsia" w:ascii="宋体" w:hAnsi="宋体"/>
          <w:b/>
          <w:sz w:val="28"/>
          <w:lang w:val="en-US" w:eastAsia="zh-CN"/>
        </w:rPr>
        <w:t>4年4月</w:t>
      </w:r>
      <w:r>
        <w:rPr>
          <w:rFonts w:ascii="Times New Roman" w:hAnsi="Times New Roman"/>
          <w:b/>
          <w:sz w:val="28"/>
        </w:rPr>
        <w:t xml:space="preserve">  </w:t>
      </w:r>
      <w:bookmarkEnd w:id="10"/>
      <w:bookmarkEnd w:id="11"/>
      <w:bookmarkEnd w:id="12"/>
      <w:bookmarkEnd w:id="13"/>
      <w:bookmarkEnd w:id="14"/>
      <w:bookmarkEnd w:id="15"/>
    </w:p>
    <w:p w14:paraId="677E78C4">
      <w:pPr>
        <w:spacing w:line="300" w:lineRule="auto"/>
        <w:jc w:val="left"/>
        <w:rPr>
          <w:rFonts w:ascii="Times New Roman" w:hAnsi="Times New Roman"/>
          <w:b/>
          <w:sz w:val="28"/>
        </w:rPr>
        <w:sectPr>
          <w:footerReference r:id="rId3" w:type="default"/>
          <w:footerReference r:id="rId4" w:type="even"/>
          <w:pgSz w:w="11906" w:h="16838"/>
          <w:pgMar w:top="1418" w:right="1418" w:bottom="1418" w:left="1418" w:header="851" w:footer="992" w:gutter="0"/>
          <w:pgNumType w:start="1"/>
          <w:cols w:space="720" w:num="1"/>
          <w:docGrid w:linePitch="498" w:charSpace="2186"/>
        </w:sectPr>
      </w:pPr>
    </w:p>
    <w:p w14:paraId="4CE8600C">
      <w:pPr>
        <w:spacing w:line="600" w:lineRule="exact"/>
        <w:ind w:right="-128" w:rightChars="-61"/>
        <w:jc w:val="center"/>
        <w:outlineLvl w:val="0"/>
        <w:rPr>
          <w:rFonts w:hint="eastAsia" w:ascii="Times New Roman" w:hAnsi="Times New Roman" w:eastAsia="黑体"/>
          <w:b/>
          <w:sz w:val="28"/>
          <w:szCs w:val="28"/>
          <w:lang w:val="en-US" w:eastAsia="zh-CN"/>
        </w:rPr>
      </w:pPr>
      <w:bookmarkStart w:id="16" w:name="_Toc2310"/>
      <w:bookmarkStart w:id="17" w:name="_Toc1457"/>
      <w:bookmarkStart w:id="18" w:name="_Toc28426"/>
      <w:bookmarkStart w:id="19" w:name="_Toc1853"/>
      <w:bookmarkStart w:id="20" w:name="_Toc23723"/>
      <w:bookmarkStart w:id="21" w:name="_Toc877"/>
      <w:r>
        <w:rPr>
          <w:rFonts w:hint="eastAsia" w:ascii="Times New Roman" w:hAnsi="Times New Roman" w:eastAsia="黑体"/>
          <w:b/>
          <w:sz w:val="28"/>
          <w:szCs w:val="28"/>
          <w:lang w:val="en-US" w:eastAsia="zh-CN"/>
        </w:rPr>
        <w:t>前  言</w:t>
      </w:r>
      <w:bookmarkEnd w:id="16"/>
      <w:bookmarkEnd w:id="17"/>
      <w:bookmarkEnd w:id="18"/>
      <w:bookmarkEnd w:id="19"/>
      <w:bookmarkEnd w:id="20"/>
      <w:bookmarkEnd w:id="21"/>
    </w:p>
    <w:p w14:paraId="79F4FC05">
      <w:pPr>
        <w:spacing w:line="600" w:lineRule="exact"/>
        <w:ind w:left="-170" w:leftChars="-81" w:right="-128" w:rightChars="-61"/>
        <w:jc w:val="center"/>
        <w:rPr>
          <w:rFonts w:hint="eastAsia" w:ascii="Times New Roman" w:hAnsi="Times New Roman" w:eastAsia="黑体"/>
          <w:b/>
          <w:sz w:val="28"/>
          <w:szCs w:val="28"/>
          <w:lang w:val="en-US" w:eastAsia="zh-CN"/>
        </w:rPr>
      </w:pPr>
    </w:p>
    <w:p w14:paraId="150A0FCA">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是根据山西省住房和城乡建设厅《关于印发2022年工程建设地方标准制（修）订计划的通知》（晋建科字〔2022〕152号）的要求，标准编制组经深入调查研究，总结实践经验，参考国内有关标准，并广泛征求意见的基础上，结合我省实际对原《写字楼物业服务标准》（DBJ04/T298-2013）进行修订。</w:t>
      </w:r>
    </w:p>
    <w:p w14:paraId="33035FC4">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本标准的技术内容包括：总则、术语、基本规定、客户服务、房屋共用部位维护管理、共用设施设备运行与维护、公共秩序维护、环境卫生、绿化养护。</w:t>
      </w:r>
    </w:p>
    <w:p w14:paraId="696E8619">
      <w:pPr>
        <w:keepNext w:val="0"/>
        <w:keepLines w:val="0"/>
        <w:pageBreakBefore w:val="0"/>
        <w:widowControl w:val="0"/>
        <w:kinsoku/>
        <w:wordWrap/>
        <w:overflowPunct/>
        <w:topLinePunct w:val="0"/>
        <w:autoSpaceDE/>
        <w:autoSpaceDN/>
        <w:bidi w:val="0"/>
        <w:adjustRightInd/>
        <w:snapToGrid/>
        <w:spacing w:line="360" w:lineRule="auto"/>
        <w:ind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修订的主要技术内容是：1、增加物业服务人、物业服务合同、物业服务满意度调查、写字楼物业服务要求、物业服务管理制度、房屋共用部位、共用设施设备维护与管理、节能管理、保密管理等内容；2、完善了装饰装修管理、文化服务、信报服务与快递服务、会议服务；3、对锅炉系统、车辆管理等增加限制性要求。</w:t>
      </w:r>
    </w:p>
    <w:p w14:paraId="326C1AB5">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cs="宋体"/>
          <w:b w:val="0"/>
          <w:bCs/>
          <w:sz w:val="21"/>
          <w:szCs w:val="21"/>
          <w:lang w:val="en-US" w:eastAsia="zh-CN"/>
        </w:rPr>
      </w:pPr>
      <w:r>
        <w:rPr>
          <w:rFonts w:hint="eastAsia" w:ascii="宋体" w:hAnsi="宋体" w:eastAsia="宋体" w:cs="宋体"/>
          <w:b w:val="0"/>
          <w:bCs/>
          <w:sz w:val="21"/>
          <w:szCs w:val="21"/>
          <w:lang w:val="en-US" w:eastAsia="zh-CN"/>
        </w:rPr>
        <w:t>本标准由山西省住房和城乡建设厅负责管理，由山西省房地产业协会、山西省建投城市运营集团有限公司负责具体标准内容的解释。执行标准过程中，如有意见和建议，请反馈山西省房地产业协会（地址：太原市建设北路85号，邮政编码：030013）；山西建投城市运营集团有限公司（地址：山西综改示范区新化路8号，  邮编：030000）</w:t>
      </w:r>
      <w:r>
        <w:rPr>
          <w:rFonts w:hint="eastAsia" w:ascii="宋体" w:hAnsi="宋体" w:cs="宋体"/>
          <w:b w:val="0"/>
          <w:bCs/>
          <w:sz w:val="21"/>
          <w:szCs w:val="21"/>
          <w:lang w:val="en-US" w:eastAsia="zh-CN"/>
        </w:rPr>
        <w:t>。</w:t>
      </w:r>
    </w:p>
    <w:p w14:paraId="142BFEA6">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本标准主编单位：山西省房地产业协会</w:t>
      </w:r>
    </w:p>
    <w:p w14:paraId="25A9D234">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山西建投城市运营集团有限公司</w:t>
      </w:r>
    </w:p>
    <w:p w14:paraId="25942513">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本标准参编单位：山西田森物业管理股份有限公司</w:t>
      </w:r>
    </w:p>
    <w:p w14:paraId="5210F1DE">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2100" w:firstLineChars="10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保利物业股份有限公司山西分公司</w:t>
      </w:r>
    </w:p>
    <w:p w14:paraId="0CE10A23">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2100" w:firstLineChars="10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山西滨汾物业集团有限公司                     </w:t>
      </w:r>
    </w:p>
    <w:p w14:paraId="058F2FF2">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本标准主要起草人：张宝军  关生唐  李明亮  赵晓星   张  瑞  王双亮  贾东华   芦俊凤  </w:t>
      </w:r>
    </w:p>
    <w:p w14:paraId="54C2FBE5">
      <w:pPr>
        <w:keepNext w:val="0"/>
        <w:keepLines w:val="0"/>
        <w:pageBreakBefore w:val="0"/>
        <w:widowControl w:val="0"/>
        <w:kinsoku/>
        <w:wordWrap/>
        <w:overflowPunct/>
        <w:topLinePunct w:val="0"/>
        <w:autoSpaceDE/>
        <w:autoSpaceDN/>
        <w:bidi w:val="0"/>
        <w:adjustRightInd/>
        <w:snapToGrid/>
        <w:spacing w:line="360" w:lineRule="auto"/>
        <w:ind w:left="2100" w:leftChars="1000" w:right="-128" w:rightChars="-61"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阎建光  段旭东  李  琳  邓  磊   李旭亮  王继国  李梅龙  陈海英   林月花  王国华  马  超 </w:t>
      </w:r>
    </w:p>
    <w:p w14:paraId="0202F47C">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cs="宋体"/>
          <w:b w:val="0"/>
          <w:bCs/>
          <w:sz w:val="21"/>
          <w:szCs w:val="21"/>
          <w:lang w:val="en-US" w:eastAsia="zh-CN"/>
        </w:rPr>
        <w:sectPr>
          <w:pgSz w:w="11906" w:h="16838"/>
          <w:pgMar w:top="1418" w:right="1418" w:bottom="1418" w:left="1418" w:header="851" w:footer="992" w:gutter="0"/>
          <w:pgNumType w:start="1"/>
          <w:cols w:space="720" w:num="1"/>
          <w:docGrid w:linePitch="498" w:charSpace="2186"/>
        </w:sectPr>
      </w:pPr>
      <w:r>
        <w:rPr>
          <w:rFonts w:hint="eastAsia" w:ascii="宋体" w:hAnsi="宋体" w:eastAsia="宋体" w:cs="宋体"/>
          <w:b w:val="0"/>
          <w:bCs/>
          <w:sz w:val="21"/>
          <w:szCs w:val="21"/>
          <w:lang w:val="en-US" w:eastAsia="zh-CN"/>
        </w:rPr>
        <w:t>本标准主要审查人：</w:t>
      </w:r>
    </w:p>
    <w:p w14:paraId="59191436">
      <w:pPr>
        <w:pStyle w:val="12"/>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bookmarkStart w:id="22" w:name="_Toc3742"/>
      <w:r>
        <w:rPr>
          <w:rFonts w:hint="eastAsia" w:ascii="宋体" w:hAnsi="宋体"/>
          <w:b/>
          <w:sz w:val="30"/>
          <w:szCs w:val="30"/>
        </w:rPr>
        <w:t xml:space="preserve">目  </w:t>
      </w:r>
      <w:r>
        <w:rPr>
          <w:rFonts w:ascii="宋体" w:hAnsi="宋体"/>
          <w:b/>
          <w:sz w:val="30"/>
          <w:szCs w:val="30"/>
        </w:rPr>
        <w:t xml:space="preserve">   </w:t>
      </w:r>
      <w:r>
        <w:rPr>
          <w:rFonts w:hint="eastAsia" w:ascii="宋体" w:hAnsi="宋体"/>
          <w:b/>
          <w:sz w:val="30"/>
          <w:szCs w:val="30"/>
        </w:rPr>
        <w:t>次</w:t>
      </w:r>
      <w:bookmarkEnd w:id="22"/>
    </w:p>
    <w:p w14:paraId="46673EF5">
      <w:pPr>
        <w:pStyle w:val="5"/>
        <w:tabs>
          <w:tab w:val="right" w:leader="dot" w:pos="8306"/>
          <w:tab w:val="clear" w:pos="8505"/>
        </w:tabs>
      </w:pPr>
      <w:r>
        <w:fldChar w:fldCharType="begin"/>
      </w:r>
      <w:r>
        <w:instrText xml:space="preserve">TOC \o "1-2" \h \u </w:instrText>
      </w:r>
      <w:r>
        <w:fldChar w:fldCharType="separate"/>
      </w:r>
    </w:p>
    <w:p w14:paraId="39990BA1">
      <w:pPr>
        <w:pStyle w:val="5"/>
        <w:tabs>
          <w:tab w:val="right" w:leader="dot" w:pos="8306"/>
          <w:tab w:val="clear" w:pos="8505"/>
        </w:tabs>
        <w:rPr>
          <w:b/>
          <w:bCs/>
        </w:rPr>
      </w:pPr>
      <w:r>
        <w:rPr>
          <w:b/>
          <w:bCs/>
        </w:rPr>
        <w:fldChar w:fldCharType="begin"/>
      </w:r>
      <w:r>
        <w:rPr>
          <w:b/>
          <w:bCs/>
        </w:rPr>
        <w:instrText xml:space="preserve"> HYPERLINK \l _Toc5015 </w:instrText>
      </w:r>
      <w:r>
        <w:rPr>
          <w:b/>
          <w:bCs/>
        </w:rPr>
        <w:fldChar w:fldCharType="separate"/>
      </w:r>
      <w:r>
        <w:rPr>
          <w:b/>
          <w:bCs/>
        </w:rPr>
        <w:t xml:space="preserve">1  </w:t>
      </w:r>
      <w:r>
        <w:rPr>
          <w:rFonts w:hint="eastAsia"/>
          <w:b/>
          <w:bCs/>
        </w:rPr>
        <w:t xml:space="preserve">总 </w:t>
      </w:r>
      <w:r>
        <w:rPr>
          <w:b/>
          <w:bCs/>
        </w:rPr>
        <w:t xml:space="preserve">  </w:t>
      </w:r>
      <w:r>
        <w:rPr>
          <w:rFonts w:hint="eastAsia"/>
          <w:b/>
          <w:bCs/>
        </w:rPr>
        <w:t>则</w:t>
      </w:r>
      <w:r>
        <w:rPr>
          <w:b/>
          <w:bCs/>
        </w:rPr>
        <w:tab/>
      </w:r>
      <w:r>
        <w:rPr>
          <w:rFonts w:hint="eastAsia"/>
          <w:b/>
          <w:bCs/>
          <w:lang w:val="en-US" w:eastAsia="zh-CN"/>
        </w:rPr>
        <w:t xml:space="preserve"> </w:t>
      </w:r>
      <w:r>
        <w:rPr>
          <w:b/>
          <w:bCs/>
        </w:rPr>
        <w:fldChar w:fldCharType="end"/>
      </w:r>
    </w:p>
    <w:p w14:paraId="4BB2FF79">
      <w:pPr>
        <w:pStyle w:val="5"/>
        <w:tabs>
          <w:tab w:val="right" w:leader="dot" w:pos="8306"/>
          <w:tab w:val="clear" w:pos="8505"/>
        </w:tabs>
        <w:rPr>
          <w:b/>
          <w:bCs/>
        </w:rPr>
      </w:pPr>
      <w:r>
        <w:rPr>
          <w:b/>
          <w:bCs/>
        </w:rPr>
        <w:fldChar w:fldCharType="begin"/>
      </w:r>
      <w:r>
        <w:rPr>
          <w:b/>
          <w:bCs/>
        </w:rPr>
        <w:instrText xml:space="preserve"> HYPERLINK \l _Toc30016 </w:instrText>
      </w:r>
      <w:r>
        <w:rPr>
          <w:b/>
          <w:bCs/>
        </w:rPr>
        <w:fldChar w:fldCharType="separate"/>
      </w:r>
      <w:r>
        <w:rPr>
          <w:b/>
          <w:bCs/>
        </w:rPr>
        <w:t xml:space="preserve">2  </w:t>
      </w:r>
      <w:r>
        <w:rPr>
          <w:rFonts w:hint="eastAsia"/>
          <w:b/>
          <w:bCs/>
        </w:rPr>
        <w:t xml:space="preserve">术 </w:t>
      </w:r>
      <w:r>
        <w:rPr>
          <w:b/>
          <w:bCs/>
        </w:rPr>
        <w:t xml:space="preserve">  </w:t>
      </w:r>
      <w:r>
        <w:rPr>
          <w:rFonts w:hint="eastAsia"/>
          <w:b/>
          <w:bCs/>
        </w:rPr>
        <w:t>语</w:t>
      </w:r>
      <w:r>
        <w:rPr>
          <w:b/>
          <w:bCs/>
        </w:rPr>
        <w:tab/>
      </w:r>
      <w:r>
        <w:rPr>
          <w:rFonts w:hint="eastAsia"/>
          <w:b/>
          <w:bCs/>
          <w:lang w:val="en-US" w:eastAsia="zh-CN"/>
        </w:rPr>
        <w:t xml:space="preserve"> </w:t>
      </w:r>
      <w:r>
        <w:rPr>
          <w:b/>
          <w:bCs/>
        </w:rPr>
        <w:fldChar w:fldCharType="end"/>
      </w:r>
    </w:p>
    <w:p w14:paraId="084D49DA">
      <w:pPr>
        <w:pStyle w:val="5"/>
        <w:tabs>
          <w:tab w:val="right" w:leader="dot" w:pos="8306"/>
          <w:tab w:val="clear" w:pos="8505"/>
        </w:tabs>
        <w:rPr>
          <w:b/>
          <w:bCs/>
        </w:rPr>
      </w:pPr>
      <w:r>
        <w:rPr>
          <w:b/>
          <w:bCs/>
        </w:rPr>
        <w:fldChar w:fldCharType="begin"/>
      </w:r>
      <w:r>
        <w:rPr>
          <w:b/>
          <w:bCs/>
        </w:rPr>
        <w:instrText xml:space="preserve"> HYPERLINK \l _Toc4828 </w:instrText>
      </w:r>
      <w:r>
        <w:rPr>
          <w:b/>
          <w:bCs/>
        </w:rPr>
        <w:fldChar w:fldCharType="separate"/>
      </w:r>
      <w:r>
        <w:rPr>
          <w:b/>
          <w:bCs/>
        </w:rPr>
        <w:t>3  基本规定</w:t>
      </w:r>
      <w:r>
        <w:rPr>
          <w:b/>
          <w:bCs/>
        </w:rPr>
        <w:tab/>
      </w:r>
      <w:r>
        <w:rPr>
          <w:rFonts w:hint="eastAsia"/>
          <w:b/>
          <w:bCs/>
          <w:lang w:val="en-US" w:eastAsia="zh-CN"/>
        </w:rPr>
        <w:t xml:space="preserve"> </w:t>
      </w:r>
      <w:r>
        <w:rPr>
          <w:b/>
          <w:bCs/>
        </w:rPr>
        <w:fldChar w:fldCharType="end"/>
      </w:r>
    </w:p>
    <w:p w14:paraId="138AAA55">
      <w:pPr>
        <w:pStyle w:val="5"/>
        <w:tabs>
          <w:tab w:val="right" w:leader="dot" w:pos="8306"/>
          <w:tab w:val="clear" w:pos="8505"/>
        </w:tabs>
      </w:pPr>
      <w:r>
        <w:rPr>
          <w:b/>
          <w:bCs/>
        </w:rPr>
        <w:fldChar w:fldCharType="begin"/>
      </w:r>
      <w:r>
        <w:rPr>
          <w:b/>
          <w:bCs/>
        </w:rPr>
        <w:instrText xml:space="preserve"> HYPERLINK \l _Toc13355 </w:instrText>
      </w:r>
      <w:r>
        <w:rPr>
          <w:b/>
          <w:bCs/>
        </w:rPr>
        <w:fldChar w:fldCharType="separate"/>
      </w:r>
      <w:r>
        <w:rPr>
          <w:rFonts w:hint="eastAsia" w:ascii="Times New Roman" w:hAnsi="Times New Roman"/>
          <w:b/>
          <w:bCs/>
          <w:szCs w:val="24"/>
          <w:lang w:val="en-US" w:eastAsia="zh-CN"/>
        </w:rPr>
        <w:t>4</w:t>
      </w:r>
      <w:r>
        <w:rPr>
          <w:rFonts w:ascii="Times New Roman" w:hAnsi="Times New Roman"/>
          <w:b/>
          <w:bCs/>
          <w:szCs w:val="24"/>
        </w:rPr>
        <w:t xml:space="preserve">  </w:t>
      </w:r>
      <w:r>
        <w:rPr>
          <w:rFonts w:hint="eastAsia"/>
          <w:b/>
          <w:bCs/>
          <w:szCs w:val="24"/>
          <w:lang w:val="en-US" w:eastAsia="zh-CN"/>
        </w:rPr>
        <w:t>客户服务</w:t>
      </w:r>
      <w:r>
        <w:rPr>
          <w:b/>
          <w:bCs/>
        </w:rPr>
        <w:tab/>
      </w:r>
      <w:r>
        <w:rPr>
          <w:rFonts w:hint="eastAsia"/>
          <w:b/>
          <w:bCs/>
          <w:lang w:val="en-US" w:eastAsia="zh-CN"/>
        </w:rPr>
        <w:t xml:space="preserve"> </w:t>
      </w:r>
      <w:r>
        <w:rPr>
          <w:b/>
          <w:bCs/>
        </w:rPr>
        <w:fldChar w:fldCharType="end"/>
      </w:r>
    </w:p>
    <w:p w14:paraId="60A67F50">
      <w:pPr>
        <w:pStyle w:val="6"/>
        <w:tabs>
          <w:tab w:val="right" w:leader="dot" w:pos="8306"/>
        </w:tabs>
      </w:pPr>
      <w:r>
        <w:fldChar w:fldCharType="begin"/>
      </w:r>
      <w:r>
        <w:instrText xml:space="preserve"> HYPERLINK \l _Toc17420 </w:instrText>
      </w:r>
      <w:r>
        <w:fldChar w:fldCharType="separate"/>
      </w:r>
      <w:r>
        <w:rPr>
          <w:rFonts w:hint="eastAsia" w:ascii="Times New Roman" w:hAnsi="Times New Roman"/>
          <w:bCs/>
          <w:szCs w:val="24"/>
          <w:lang w:val="en-US" w:eastAsia="zh-CN"/>
        </w:rPr>
        <w:t>4.1</w:t>
      </w:r>
      <w:r>
        <w:rPr>
          <w:rFonts w:ascii="Times New Roman" w:hAnsi="Times New Roman"/>
          <w:bCs/>
          <w:szCs w:val="24"/>
        </w:rPr>
        <w:t xml:space="preserve">  </w:t>
      </w:r>
      <w:r>
        <w:rPr>
          <w:rFonts w:hint="eastAsia" w:ascii="Times New Roman" w:hAnsi="Times New Roman"/>
          <w:bCs w:val="0"/>
          <w:szCs w:val="24"/>
          <w:lang w:val="en-US" w:eastAsia="zh-CN"/>
        </w:rPr>
        <w:t>接待服务</w:t>
      </w:r>
      <w:r>
        <w:tab/>
      </w:r>
      <w:r>
        <w:rPr>
          <w:rFonts w:hint="eastAsia"/>
          <w:lang w:val="en-US" w:eastAsia="zh-CN"/>
        </w:rPr>
        <w:t xml:space="preserve"> </w:t>
      </w:r>
      <w:r>
        <w:fldChar w:fldCharType="end"/>
      </w:r>
    </w:p>
    <w:p w14:paraId="68A8FA0F">
      <w:pPr>
        <w:pStyle w:val="6"/>
        <w:tabs>
          <w:tab w:val="right" w:leader="dot" w:pos="8306"/>
        </w:tabs>
      </w:pPr>
      <w:r>
        <w:fldChar w:fldCharType="begin"/>
      </w:r>
      <w:r>
        <w:instrText xml:space="preserve"> HYPERLINK \l _Toc30170 </w:instrText>
      </w:r>
      <w:r>
        <w:fldChar w:fldCharType="separate"/>
      </w:r>
      <w:r>
        <w:rPr>
          <w:rFonts w:hint="eastAsia" w:ascii="Times New Roman" w:hAnsi="Times New Roman"/>
          <w:bCs/>
          <w:szCs w:val="24"/>
          <w:lang w:val="en-US" w:eastAsia="zh-CN"/>
        </w:rPr>
        <w:t>4.2</w:t>
      </w:r>
      <w:r>
        <w:rPr>
          <w:rFonts w:ascii="Times New Roman" w:hAnsi="Times New Roman"/>
          <w:bCs/>
          <w:szCs w:val="24"/>
        </w:rPr>
        <w:t xml:space="preserve">  </w:t>
      </w:r>
      <w:r>
        <w:rPr>
          <w:rFonts w:hint="eastAsia" w:ascii="Times New Roman" w:hAnsi="Times New Roman" w:eastAsia="宋体"/>
          <w:bCs w:val="0"/>
          <w:szCs w:val="24"/>
        </w:rPr>
        <w:t>入驻、撤场服务</w:t>
      </w:r>
      <w:r>
        <w:tab/>
      </w:r>
      <w:r>
        <w:rPr>
          <w:rFonts w:hint="eastAsia"/>
          <w:lang w:val="en-US" w:eastAsia="zh-CN"/>
        </w:rPr>
        <w:t xml:space="preserve"> </w:t>
      </w:r>
      <w:r>
        <w:fldChar w:fldCharType="end"/>
      </w:r>
    </w:p>
    <w:p w14:paraId="58CC63D4">
      <w:pPr>
        <w:pStyle w:val="6"/>
        <w:tabs>
          <w:tab w:val="right" w:leader="dot" w:pos="8306"/>
        </w:tabs>
      </w:pPr>
      <w:r>
        <w:fldChar w:fldCharType="begin"/>
      </w:r>
      <w:r>
        <w:instrText xml:space="preserve"> HYPERLINK \l _Toc5067 </w:instrText>
      </w:r>
      <w:r>
        <w:fldChar w:fldCharType="separate"/>
      </w:r>
      <w:r>
        <w:rPr>
          <w:rFonts w:hint="eastAsia" w:ascii="Times New Roman" w:hAnsi="Times New Roman"/>
          <w:bCs/>
          <w:szCs w:val="24"/>
          <w:lang w:val="en-US" w:eastAsia="zh-CN"/>
        </w:rPr>
        <w:t>4.3</w:t>
      </w:r>
      <w:r>
        <w:rPr>
          <w:rFonts w:ascii="Times New Roman" w:hAnsi="Times New Roman"/>
          <w:bCs/>
          <w:szCs w:val="24"/>
        </w:rPr>
        <w:t xml:space="preserve">  </w:t>
      </w:r>
      <w:r>
        <w:rPr>
          <w:rFonts w:hint="eastAsia" w:ascii="Times New Roman" w:hAnsi="Times New Roman" w:eastAsia="宋体"/>
          <w:bCs w:val="0"/>
          <w:szCs w:val="24"/>
        </w:rPr>
        <w:t>装饰装修服务</w:t>
      </w:r>
      <w:r>
        <w:tab/>
      </w:r>
      <w:r>
        <w:rPr>
          <w:rFonts w:hint="eastAsia"/>
          <w:lang w:val="en-US" w:eastAsia="zh-CN"/>
        </w:rPr>
        <w:t xml:space="preserve"> </w:t>
      </w:r>
      <w:r>
        <w:fldChar w:fldCharType="end"/>
      </w:r>
    </w:p>
    <w:p w14:paraId="127E49A0">
      <w:pPr>
        <w:pStyle w:val="6"/>
        <w:tabs>
          <w:tab w:val="right" w:leader="dot" w:pos="8306"/>
        </w:tabs>
      </w:pPr>
      <w:r>
        <w:fldChar w:fldCharType="begin"/>
      </w:r>
      <w:r>
        <w:instrText xml:space="preserve"> HYPERLINK \l _Toc27506 </w:instrText>
      </w:r>
      <w:r>
        <w:fldChar w:fldCharType="separate"/>
      </w:r>
      <w:r>
        <w:rPr>
          <w:rFonts w:hint="eastAsia" w:ascii="Times New Roman" w:hAnsi="Times New Roman"/>
          <w:lang w:val="en-US" w:eastAsia="zh-CN"/>
        </w:rPr>
        <w:t>4.4</w:t>
      </w:r>
      <w:r>
        <w:rPr>
          <w:rFonts w:ascii="Times New Roman" w:hAnsi="Times New Roman"/>
        </w:rPr>
        <w:t xml:space="preserve">  </w:t>
      </w:r>
      <w:r>
        <w:rPr>
          <w:rFonts w:hint="eastAsia" w:ascii="Times New Roman" w:hAnsi="Times New Roman"/>
        </w:rPr>
        <w:t>保修服务</w:t>
      </w:r>
      <w:r>
        <w:tab/>
      </w:r>
      <w:r>
        <w:rPr>
          <w:rFonts w:hint="eastAsia"/>
          <w:lang w:val="en-US" w:eastAsia="zh-CN"/>
        </w:rPr>
        <w:t xml:space="preserve"> </w:t>
      </w:r>
      <w:r>
        <w:fldChar w:fldCharType="end"/>
      </w:r>
    </w:p>
    <w:p w14:paraId="1256EB55">
      <w:pPr>
        <w:pStyle w:val="6"/>
        <w:tabs>
          <w:tab w:val="right" w:leader="dot" w:pos="8306"/>
        </w:tabs>
      </w:pPr>
      <w:r>
        <w:fldChar w:fldCharType="begin"/>
      </w:r>
      <w:r>
        <w:instrText xml:space="preserve"> HYPERLINK \l _Toc12423 </w:instrText>
      </w:r>
      <w:r>
        <w:fldChar w:fldCharType="separate"/>
      </w:r>
      <w:r>
        <w:rPr>
          <w:rFonts w:hint="eastAsia" w:ascii="Times New Roman" w:hAnsi="Times New Roman"/>
          <w:lang w:val="en-US" w:eastAsia="zh-CN"/>
        </w:rPr>
        <w:t>4.5</w:t>
      </w:r>
      <w:r>
        <w:rPr>
          <w:rFonts w:ascii="Times New Roman" w:hAnsi="Times New Roman"/>
        </w:rPr>
        <w:t xml:space="preserve">  </w:t>
      </w:r>
      <w:r>
        <w:rPr>
          <w:rFonts w:hint="eastAsia" w:ascii="Times New Roman" w:hAnsi="Times New Roman"/>
          <w:kern w:val="0"/>
        </w:rPr>
        <w:t>特约服务</w:t>
      </w:r>
      <w:r>
        <w:tab/>
      </w:r>
      <w:r>
        <w:rPr>
          <w:rFonts w:hint="eastAsia"/>
          <w:lang w:val="en-US" w:eastAsia="zh-CN"/>
        </w:rPr>
        <w:t xml:space="preserve"> </w:t>
      </w:r>
      <w:r>
        <w:fldChar w:fldCharType="end"/>
      </w:r>
    </w:p>
    <w:p w14:paraId="49291E91">
      <w:pPr>
        <w:pStyle w:val="6"/>
        <w:tabs>
          <w:tab w:val="right" w:leader="dot" w:pos="8306"/>
        </w:tabs>
      </w:pPr>
      <w:r>
        <w:fldChar w:fldCharType="begin"/>
      </w:r>
      <w:r>
        <w:instrText xml:space="preserve"> HYPERLINK \l _Toc16057 </w:instrText>
      </w:r>
      <w:r>
        <w:fldChar w:fldCharType="separate"/>
      </w:r>
      <w:r>
        <w:rPr>
          <w:rFonts w:hint="eastAsia" w:ascii="Times New Roman" w:hAnsi="Times New Roman"/>
          <w:lang w:val="en-US" w:eastAsia="zh-CN"/>
        </w:rPr>
        <w:t>4.6</w:t>
      </w:r>
      <w:r>
        <w:rPr>
          <w:rFonts w:ascii="Times New Roman" w:hAnsi="Times New Roman"/>
        </w:rPr>
        <w:t xml:space="preserve">  </w:t>
      </w:r>
      <w:r>
        <w:rPr>
          <w:rFonts w:hint="eastAsia" w:ascii="Times New Roman" w:hAnsi="Times New Roman"/>
          <w:kern w:val="0"/>
          <w:lang w:val="en-US" w:eastAsia="zh-CN"/>
        </w:rPr>
        <w:t>文化服务</w:t>
      </w:r>
      <w:r>
        <w:tab/>
      </w:r>
      <w:r>
        <w:rPr>
          <w:rFonts w:hint="eastAsia"/>
          <w:lang w:val="en-US" w:eastAsia="zh-CN"/>
        </w:rPr>
        <w:t xml:space="preserve"> </w:t>
      </w:r>
      <w:r>
        <w:fldChar w:fldCharType="end"/>
      </w:r>
    </w:p>
    <w:p w14:paraId="4A38D40F">
      <w:pPr>
        <w:pStyle w:val="6"/>
        <w:tabs>
          <w:tab w:val="right" w:leader="dot" w:pos="8306"/>
        </w:tabs>
      </w:pPr>
      <w:r>
        <w:fldChar w:fldCharType="begin"/>
      </w:r>
      <w:r>
        <w:instrText xml:space="preserve"> HYPERLINK \l _Toc16000 </w:instrText>
      </w:r>
      <w:r>
        <w:fldChar w:fldCharType="separate"/>
      </w:r>
      <w:r>
        <w:rPr>
          <w:rFonts w:hint="eastAsia" w:ascii="Times New Roman" w:hAnsi="Times New Roman"/>
          <w:lang w:val="en-US" w:eastAsia="zh-CN"/>
        </w:rPr>
        <w:t>4.7</w:t>
      </w:r>
      <w:r>
        <w:rPr>
          <w:rFonts w:ascii="Times New Roman" w:hAnsi="Times New Roman"/>
        </w:rPr>
        <w:t xml:space="preserve">  </w:t>
      </w:r>
      <w:r>
        <w:rPr>
          <w:rFonts w:hint="eastAsia" w:ascii="Times New Roman" w:hAnsi="Times New Roman"/>
          <w:kern w:val="0"/>
        </w:rPr>
        <w:t>客户满意度与改进服务质量</w:t>
      </w:r>
      <w:r>
        <w:tab/>
      </w:r>
      <w:r>
        <w:rPr>
          <w:rFonts w:hint="eastAsia"/>
          <w:lang w:val="en-US" w:eastAsia="zh-CN"/>
        </w:rPr>
        <w:t xml:space="preserve"> </w:t>
      </w:r>
      <w:r>
        <w:fldChar w:fldCharType="end"/>
      </w:r>
    </w:p>
    <w:p w14:paraId="21582A80">
      <w:pPr>
        <w:pStyle w:val="6"/>
        <w:tabs>
          <w:tab w:val="right" w:leader="dot" w:pos="8306"/>
        </w:tabs>
      </w:pPr>
      <w:r>
        <w:fldChar w:fldCharType="begin"/>
      </w:r>
      <w:r>
        <w:instrText xml:space="preserve"> HYPERLINK \l _Toc14340 </w:instrText>
      </w:r>
      <w:r>
        <w:fldChar w:fldCharType="separate"/>
      </w:r>
      <w:r>
        <w:rPr>
          <w:rFonts w:hint="eastAsia" w:ascii="Times New Roman" w:hAnsi="Times New Roman"/>
          <w:lang w:val="en-US" w:eastAsia="zh-CN"/>
        </w:rPr>
        <w:t>4.8</w:t>
      </w:r>
      <w:r>
        <w:rPr>
          <w:rFonts w:ascii="Times New Roman" w:hAnsi="Times New Roman"/>
        </w:rPr>
        <w:t xml:space="preserve">  </w:t>
      </w:r>
      <w:r>
        <w:rPr>
          <w:rFonts w:hint="eastAsia" w:ascii="Times New Roman" w:hAnsi="Times New Roman"/>
          <w:kern w:val="0"/>
        </w:rPr>
        <w:t>信报服务与快递服务</w:t>
      </w:r>
      <w:r>
        <w:tab/>
      </w:r>
      <w:r>
        <w:rPr>
          <w:rFonts w:hint="eastAsia"/>
          <w:lang w:val="en-US" w:eastAsia="zh-CN"/>
        </w:rPr>
        <w:t xml:space="preserve"> </w:t>
      </w:r>
      <w:r>
        <w:fldChar w:fldCharType="end"/>
      </w:r>
    </w:p>
    <w:p w14:paraId="6DD2B487">
      <w:pPr>
        <w:pStyle w:val="6"/>
        <w:tabs>
          <w:tab w:val="right" w:leader="dot" w:pos="8306"/>
        </w:tabs>
      </w:pPr>
      <w:r>
        <w:fldChar w:fldCharType="begin"/>
      </w:r>
      <w:r>
        <w:instrText xml:space="preserve"> HYPERLINK \l _Toc14624 </w:instrText>
      </w:r>
      <w:r>
        <w:fldChar w:fldCharType="separate"/>
      </w:r>
      <w:r>
        <w:rPr>
          <w:rFonts w:hint="eastAsia" w:ascii="Times New Roman" w:hAnsi="Times New Roman"/>
          <w:lang w:val="en-US" w:eastAsia="zh-CN"/>
        </w:rPr>
        <w:t>4.9</w:t>
      </w:r>
      <w:r>
        <w:rPr>
          <w:rFonts w:ascii="Times New Roman" w:hAnsi="Times New Roman"/>
        </w:rPr>
        <w:t xml:space="preserve">  </w:t>
      </w:r>
      <w:r>
        <w:rPr>
          <w:rFonts w:hint="eastAsia" w:ascii="Times New Roman" w:hAnsi="Times New Roman"/>
          <w:kern w:val="0"/>
        </w:rPr>
        <w:t>会议服务</w:t>
      </w:r>
      <w:r>
        <w:tab/>
      </w:r>
      <w:r>
        <w:rPr>
          <w:rFonts w:hint="eastAsia"/>
          <w:lang w:val="en-US" w:eastAsia="zh-CN"/>
        </w:rPr>
        <w:t xml:space="preserve"> </w:t>
      </w:r>
      <w:r>
        <w:fldChar w:fldCharType="end"/>
      </w:r>
    </w:p>
    <w:p w14:paraId="27E14DDE">
      <w:pPr>
        <w:pStyle w:val="5"/>
        <w:tabs>
          <w:tab w:val="right" w:leader="dot" w:pos="8306"/>
          <w:tab w:val="clear" w:pos="8505"/>
        </w:tabs>
        <w:rPr>
          <w:b/>
          <w:bCs/>
        </w:rPr>
      </w:pPr>
      <w:r>
        <w:rPr>
          <w:b/>
          <w:bCs/>
        </w:rPr>
        <w:fldChar w:fldCharType="begin"/>
      </w:r>
      <w:r>
        <w:rPr>
          <w:b/>
          <w:bCs/>
        </w:rPr>
        <w:instrText xml:space="preserve"> HYPERLINK \l _Toc22749 </w:instrText>
      </w:r>
      <w:r>
        <w:rPr>
          <w:b/>
          <w:bCs/>
        </w:rPr>
        <w:fldChar w:fldCharType="separate"/>
      </w:r>
      <w:r>
        <w:rPr>
          <w:rFonts w:hint="eastAsia"/>
          <w:b/>
          <w:bCs/>
          <w:szCs w:val="24"/>
          <w:lang w:val="en-US" w:eastAsia="zh-CN"/>
        </w:rPr>
        <w:t>5</w:t>
      </w:r>
      <w:r>
        <w:rPr>
          <w:rFonts w:ascii="Times New Roman" w:hAnsi="Times New Roman"/>
          <w:b/>
          <w:bCs/>
          <w:szCs w:val="24"/>
        </w:rPr>
        <w:t xml:space="preserve">  </w:t>
      </w:r>
      <w:r>
        <w:rPr>
          <w:rFonts w:hint="eastAsia" w:ascii="Times New Roman" w:hAnsi="Times New Roman" w:eastAsia="宋体"/>
          <w:b/>
          <w:bCs/>
          <w:szCs w:val="24"/>
        </w:rPr>
        <w:t>房屋共用部位维护与管理</w:t>
      </w:r>
      <w:r>
        <w:rPr>
          <w:b/>
          <w:bCs/>
        </w:rPr>
        <w:tab/>
      </w:r>
      <w:r>
        <w:rPr>
          <w:rFonts w:hint="eastAsia"/>
          <w:b/>
          <w:bCs/>
          <w:lang w:val="en-US" w:eastAsia="zh-CN"/>
        </w:rPr>
        <w:t xml:space="preserve"> </w:t>
      </w:r>
      <w:r>
        <w:rPr>
          <w:b/>
          <w:bCs/>
        </w:rPr>
        <w:fldChar w:fldCharType="end"/>
      </w:r>
    </w:p>
    <w:p w14:paraId="0BD4ACF9">
      <w:pPr>
        <w:pStyle w:val="5"/>
        <w:tabs>
          <w:tab w:val="right" w:leader="dot" w:pos="8306"/>
          <w:tab w:val="clear" w:pos="8505"/>
        </w:tabs>
      </w:pPr>
      <w:r>
        <w:rPr>
          <w:b/>
          <w:bCs/>
        </w:rPr>
        <w:fldChar w:fldCharType="begin"/>
      </w:r>
      <w:r>
        <w:rPr>
          <w:b/>
          <w:bCs/>
        </w:rPr>
        <w:instrText xml:space="preserve"> HYPERLINK \l _Toc16939 </w:instrText>
      </w:r>
      <w:r>
        <w:rPr>
          <w:b/>
          <w:bCs/>
        </w:rPr>
        <w:fldChar w:fldCharType="separate"/>
      </w:r>
      <w:r>
        <w:rPr>
          <w:rFonts w:hint="eastAsia"/>
          <w:b/>
          <w:bCs/>
          <w:szCs w:val="24"/>
          <w:lang w:val="en-US" w:eastAsia="zh-CN"/>
        </w:rPr>
        <w:t>6</w:t>
      </w:r>
      <w:r>
        <w:rPr>
          <w:rFonts w:ascii="Times New Roman" w:hAnsi="Times New Roman"/>
          <w:b/>
          <w:bCs/>
          <w:szCs w:val="24"/>
        </w:rPr>
        <w:t xml:space="preserve">  </w:t>
      </w:r>
      <w:r>
        <w:rPr>
          <w:rFonts w:hint="eastAsia" w:ascii="Times New Roman" w:hAnsi="Times New Roman" w:eastAsia="宋体"/>
          <w:b/>
          <w:bCs/>
          <w:szCs w:val="24"/>
        </w:rPr>
        <w:t>共用设施设备运行与维护</w:t>
      </w:r>
      <w:r>
        <w:rPr>
          <w:b/>
          <w:bCs/>
        </w:rPr>
        <w:tab/>
      </w:r>
      <w:r>
        <w:rPr>
          <w:rFonts w:hint="eastAsia"/>
          <w:b/>
          <w:bCs/>
          <w:lang w:val="en-US" w:eastAsia="zh-CN"/>
        </w:rPr>
        <w:t xml:space="preserve"> </w:t>
      </w:r>
      <w:r>
        <w:rPr>
          <w:b/>
          <w:bCs/>
        </w:rPr>
        <w:fldChar w:fldCharType="end"/>
      </w:r>
    </w:p>
    <w:p w14:paraId="53F8AE20">
      <w:pPr>
        <w:pStyle w:val="6"/>
        <w:tabs>
          <w:tab w:val="right" w:leader="dot" w:pos="8306"/>
        </w:tabs>
      </w:pPr>
      <w:r>
        <w:fldChar w:fldCharType="begin"/>
      </w:r>
      <w:r>
        <w:instrText xml:space="preserve"> HYPERLINK \l _Toc17420 </w:instrText>
      </w:r>
      <w:r>
        <w:fldChar w:fldCharType="separate"/>
      </w:r>
      <w:r>
        <w:rPr>
          <w:rFonts w:hint="eastAsia" w:ascii="Times New Roman" w:hAnsi="Times New Roman"/>
          <w:bCs/>
          <w:szCs w:val="24"/>
          <w:lang w:val="en-US" w:eastAsia="zh-CN"/>
        </w:rPr>
        <w:t>6.1  一般规定</w:t>
      </w:r>
      <w:r>
        <w:tab/>
      </w:r>
      <w:r>
        <w:rPr>
          <w:rFonts w:hint="eastAsia"/>
          <w:lang w:val="en-US" w:eastAsia="zh-CN"/>
        </w:rPr>
        <w:t xml:space="preserve"> </w:t>
      </w:r>
      <w:r>
        <w:fldChar w:fldCharType="end"/>
      </w:r>
    </w:p>
    <w:p w14:paraId="2239CA17">
      <w:pPr>
        <w:pStyle w:val="6"/>
        <w:tabs>
          <w:tab w:val="right" w:leader="dot" w:pos="8306"/>
        </w:tabs>
      </w:pPr>
      <w:r>
        <w:fldChar w:fldCharType="begin"/>
      </w:r>
      <w:r>
        <w:instrText xml:space="preserve"> HYPERLINK \l _Toc30170 </w:instrText>
      </w:r>
      <w:r>
        <w:fldChar w:fldCharType="separate"/>
      </w:r>
      <w:r>
        <w:rPr>
          <w:rFonts w:hint="eastAsia" w:ascii="Times New Roman" w:hAnsi="Times New Roman"/>
          <w:bCs/>
          <w:szCs w:val="24"/>
          <w:lang w:val="en-US" w:eastAsia="zh-CN"/>
        </w:rPr>
        <w:t>6.2  公共照明</w:t>
      </w:r>
      <w:r>
        <w:tab/>
      </w:r>
      <w:r>
        <w:rPr>
          <w:rFonts w:hint="eastAsia"/>
          <w:lang w:val="en-US" w:eastAsia="zh-CN"/>
        </w:rPr>
        <w:t xml:space="preserve"> </w:t>
      </w:r>
      <w:r>
        <w:fldChar w:fldCharType="end"/>
      </w:r>
    </w:p>
    <w:p w14:paraId="68E18DCE">
      <w:pPr>
        <w:pStyle w:val="6"/>
        <w:tabs>
          <w:tab w:val="right" w:leader="dot" w:pos="8306"/>
        </w:tabs>
      </w:pPr>
      <w:r>
        <w:fldChar w:fldCharType="begin"/>
      </w:r>
      <w:r>
        <w:instrText xml:space="preserve"> HYPERLINK \l _Toc5067 </w:instrText>
      </w:r>
      <w:r>
        <w:fldChar w:fldCharType="separate"/>
      </w:r>
      <w:r>
        <w:rPr>
          <w:rFonts w:hint="eastAsia" w:ascii="Times New Roman" w:hAnsi="Times New Roman"/>
          <w:bCs/>
          <w:szCs w:val="24"/>
          <w:lang w:val="en-US" w:eastAsia="zh-CN"/>
        </w:rPr>
        <w:t>6.3  供配电系统</w:t>
      </w:r>
      <w:r>
        <w:tab/>
      </w:r>
      <w:r>
        <w:rPr>
          <w:rFonts w:hint="eastAsia"/>
          <w:lang w:val="en-US" w:eastAsia="zh-CN"/>
        </w:rPr>
        <w:t xml:space="preserve"> </w:t>
      </w:r>
      <w:r>
        <w:fldChar w:fldCharType="end"/>
      </w:r>
    </w:p>
    <w:p w14:paraId="5DA436C8">
      <w:pPr>
        <w:pStyle w:val="6"/>
        <w:tabs>
          <w:tab w:val="right" w:leader="dot" w:pos="8306"/>
        </w:tabs>
      </w:pPr>
      <w:r>
        <w:fldChar w:fldCharType="begin"/>
      </w:r>
      <w:r>
        <w:instrText xml:space="preserve"> HYPERLINK \l _Toc27506 </w:instrText>
      </w:r>
      <w:r>
        <w:fldChar w:fldCharType="separate"/>
      </w:r>
      <w:r>
        <w:rPr>
          <w:rFonts w:hint="eastAsia" w:ascii="Times New Roman" w:hAnsi="Times New Roman"/>
          <w:lang w:val="en-US" w:eastAsia="zh-CN"/>
        </w:rPr>
        <w:t>6.4  电梯</w:t>
      </w:r>
      <w:r>
        <w:tab/>
      </w:r>
      <w:r>
        <w:rPr>
          <w:rFonts w:hint="eastAsia"/>
          <w:lang w:val="en-US" w:eastAsia="zh-CN"/>
        </w:rPr>
        <w:t xml:space="preserve"> </w:t>
      </w:r>
      <w:r>
        <w:fldChar w:fldCharType="end"/>
      </w:r>
    </w:p>
    <w:p w14:paraId="3242605D">
      <w:pPr>
        <w:pStyle w:val="6"/>
        <w:tabs>
          <w:tab w:val="right" w:leader="dot" w:pos="8306"/>
        </w:tabs>
      </w:pPr>
      <w:r>
        <w:fldChar w:fldCharType="begin"/>
      </w:r>
      <w:r>
        <w:instrText xml:space="preserve"> HYPERLINK \l _Toc12423 </w:instrText>
      </w:r>
      <w:r>
        <w:fldChar w:fldCharType="separate"/>
      </w:r>
      <w:r>
        <w:rPr>
          <w:rFonts w:hint="eastAsia" w:ascii="Times New Roman" w:hAnsi="Times New Roman"/>
          <w:lang w:val="en-US" w:eastAsia="zh-CN"/>
        </w:rPr>
        <w:t>6.5  通风空调系统</w:t>
      </w:r>
      <w:r>
        <w:tab/>
      </w:r>
      <w:r>
        <w:rPr>
          <w:rFonts w:hint="eastAsia"/>
          <w:lang w:val="en-US" w:eastAsia="zh-CN"/>
        </w:rPr>
        <w:t xml:space="preserve"> </w:t>
      </w:r>
      <w:r>
        <w:fldChar w:fldCharType="end"/>
      </w:r>
    </w:p>
    <w:p w14:paraId="6AFD348C">
      <w:pPr>
        <w:pStyle w:val="6"/>
        <w:tabs>
          <w:tab w:val="right" w:leader="dot" w:pos="8306"/>
        </w:tabs>
      </w:pPr>
      <w:r>
        <w:fldChar w:fldCharType="begin"/>
      </w:r>
      <w:r>
        <w:instrText xml:space="preserve"> HYPERLINK \l _Toc16057 </w:instrText>
      </w:r>
      <w:r>
        <w:fldChar w:fldCharType="separate"/>
      </w:r>
      <w:r>
        <w:rPr>
          <w:rFonts w:hint="eastAsia" w:ascii="Times New Roman" w:hAnsi="Times New Roman"/>
          <w:lang w:val="en-US" w:eastAsia="zh-CN"/>
        </w:rPr>
        <w:t>6.6  锅炉系统</w:t>
      </w:r>
      <w:r>
        <w:tab/>
      </w:r>
      <w:r>
        <w:rPr>
          <w:rFonts w:hint="eastAsia"/>
          <w:lang w:val="en-US" w:eastAsia="zh-CN"/>
        </w:rPr>
        <w:t xml:space="preserve"> </w:t>
      </w:r>
      <w:r>
        <w:fldChar w:fldCharType="end"/>
      </w:r>
    </w:p>
    <w:p w14:paraId="3EEC53FA">
      <w:pPr>
        <w:pStyle w:val="6"/>
        <w:tabs>
          <w:tab w:val="right" w:leader="dot" w:pos="8306"/>
        </w:tabs>
      </w:pPr>
      <w:r>
        <w:fldChar w:fldCharType="begin"/>
      </w:r>
      <w:r>
        <w:instrText xml:space="preserve"> HYPERLINK \l _Toc16000 </w:instrText>
      </w:r>
      <w:r>
        <w:fldChar w:fldCharType="separate"/>
      </w:r>
      <w:r>
        <w:rPr>
          <w:rFonts w:hint="eastAsia" w:ascii="Times New Roman" w:hAnsi="Times New Roman"/>
          <w:lang w:val="en-US" w:eastAsia="zh-CN"/>
        </w:rPr>
        <w:t>6.7  给排水系统</w:t>
      </w:r>
      <w:r>
        <w:tab/>
      </w:r>
      <w:r>
        <w:rPr>
          <w:rFonts w:hint="eastAsia"/>
          <w:lang w:val="en-US" w:eastAsia="zh-CN"/>
        </w:rPr>
        <w:t xml:space="preserve"> </w:t>
      </w:r>
      <w:r>
        <w:fldChar w:fldCharType="end"/>
      </w:r>
    </w:p>
    <w:p w14:paraId="19312783">
      <w:pPr>
        <w:pStyle w:val="6"/>
        <w:tabs>
          <w:tab w:val="right" w:leader="dot" w:pos="8306"/>
        </w:tabs>
      </w:pPr>
      <w:r>
        <w:fldChar w:fldCharType="begin"/>
      </w:r>
      <w:r>
        <w:instrText xml:space="preserve"> HYPERLINK \l _Toc14340 </w:instrText>
      </w:r>
      <w:r>
        <w:fldChar w:fldCharType="separate"/>
      </w:r>
      <w:r>
        <w:rPr>
          <w:rFonts w:hint="eastAsia" w:ascii="Times New Roman" w:hAnsi="Times New Roman"/>
          <w:lang w:val="en-US" w:eastAsia="zh-CN"/>
        </w:rPr>
        <w:t>6.8  视频监控系统</w:t>
      </w:r>
      <w:r>
        <w:tab/>
      </w:r>
      <w:r>
        <w:rPr>
          <w:rFonts w:hint="eastAsia"/>
          <w:lang w:val="en-US" w:eastAsia="zh-CN"/>
        </w:rPr>
        <w:t xml:space="preserve"> </w:t>
      </w:r>
      <w:r>
        <w:fldChar w:fldCharType="end"/>
      </w:r>
    </w:p>
    <w:p w14:paraId="371E993B">
      <w:pPr>
        <w:pStyle w:val="6"/>
        <w:tabs>
          <w:tab w:val="right" w:leader="dot" w:pos="8306"/>
        </w:tabs>
      </w:pPr>
      <w:r>
        <w:fldChar w:fldCharType="begin"/>
      </w:r>
      <w:r>
        <w:instrText xml:space="preserve"> HYPERLINK \l _Toc14624 </w:instrText>
      </w:r>
      <w:r>
        <w:fldChar w:fldCharType="separate"/>
      </w:r>
      <w:r>
        <w:rPr>
          <w:rFonts w:hint="eastAsia" w:ascii="Times New Roman" w:hAnsi="Times New Roman"/>
          <w:lang w:val="en-US" w:eastAsia="zh-CN"/>
        </w:rPr>
        <w:t>6.9  车库管理系统</w:t>
      </w:r>
      <w:r>
        <w:tab/>
      </w:r>
      <w:r>
        <w:rPr>
          <w:rFonts w:hint="eastAsia"/>
          <w:lang w:val="en-US" w:eastAsia="zh-CN"/>
        </w:rPr>
        <w:t xml:space="preserve"> </w:t>
      </w:r>
      <w:r>
        <w:fldChar w:fldCharType="end"/>
      </w:r>
    </w:p>
    <w:p w14:paraId="143E4FCD">
      <w:pPr>
        <w:pStyle w:val="6"/>
        <w:tabs>
          <w:tab w:val="right" w:leader="dot" w:pos="8306"/>
        </w:tabs>
      </w:pPr>
      <w:r>
        <w:fldChar w:fldCharType="begin"/>
      </w:r>
      <w:r>
        <w:instrText xml:space="preserve"> HYPERLINK \l _Toc23840 </w:instrText>
      </w:r>
      <w:r>
        <w:fldChar w:fldCharType="separate"/>
      </w:r>
      <w:r>
        <w:rPr>
          <w:rFonts w:hint="eastAsia" w:ascii="Times New Roman" w:hAnsi="Times New Roman"/>
          <w:bCs/>
          <w:szCs w:val="24"/>
        </w:rPr>
        <w:t>6.10 广播、会议背景音响</w:t>
      </w:r>
      <w:r>
        <w:tab/>
      </w:r>
      <w:r>
        <w:rPr>
          <w:rFonts w:hint="eastAsia"/>
          <w:lang w:val="en-US" w:eastAsia="zh-CN"/>
        </w:rPr>
        <w:t xml:space="preserve"> </w:t>
      </w:r>
      <w:r>
        <w:fldChar w:fldCharType="end"/>
      </w:r>
    </w:p>
    <w:p w14:paraId="1C607E19">
      <w:pPr>
        <w:pStyle w:val="6"/>
        <w:tabs>
          <w:tab w:val="right" w:leader="dot" w:pos="8306"/>
        </w:tabs>
      </w:pPr>
      <w:r>
        <w:fldChar w:fldCharType="begin"/>
      </w:r>
      <w:r>
        <w:instrText xml:space="preserve"> HYPERLINK \l _Toc14340 </w:instrText>
      </w:r>
      <w:r>
        <w:fldChar w:fldCharType="separate"/>
      </w:r>
      <w:r>
        <w:rPr>
          <w:rFonts w:hint="eastAsia" w:ascii="Times New Roman" w:hAnsi="Times New Roman"/>
          <w:lang w:val="en-US" w:eastAsia="zh-CN"/>
        </w:rPr>
        <w:t xml:space="preserve">6.11 </w:t>
      </w:r>
      <w:r>
        <w:rPr>
          <w:rFonts w:hint="eastAsia" w:ascii="Times New Roman" w:hAnsi="Times New Roman"/>
          <w:bCs/>
          <w:szCs w:val="24"/>
        </w:rPr>
        <w:t>对讲系统</w:t>
      </w:r>
      <w:r>
        <w:tab/>
      </w:r>
      <w:r>
        <w:rPr>
          <w:rFonts w:hint="eastAsia"/>
          <w:lang w:val="en-US" w:eastAsia="zh-CN"/>
        </w:rPr>
        <w:t xml:space="preserve"> </w:t>
      </w:r>
      <w:r>
        <w:fldChar w:fldCharType="end"/>
      </w:r>
    </w:p>
    <w:p w14:paraId="1BD3A287">
      <w:pPr>
        <w:pStyle w:val="6"/>
        <w:tabs>
          <w:tab w:val="right" w:leader="dot" w:pos="8306"/>
        </w:tabs>
      </w:pPr>
      <w:r>
        <w:fldChar w:fldCharType="begin"/>
      </w:r>
      <w:r>
        <w:instrText xml:space="preserve"> HYPERLINK \l _Toc14624 </w:instrText>
      </w:r>
      <w:r>
        <w:fldChar w:fldCharType="separate"/>
      </w:r>
      <w:r>
        <w:rPr>
          <w:rFonts w:hint="eastAsia" w:ascii="Times New Roman" w:hAnsi="Times New Roman"/>
          <w:lang w:val="en-US" w:eastAsia="zh-CN"/>
        </w:rPr>
        <w:t>6.12 避雷和接地系统</w:t>
      </w:r>
      <w:r>
        <w:tab/>
      </w:r>
      <w:r>
        <w:rPr>
          <w:rFonts w:hint="eastAsia"/>
          <w:lang w:val="en-US" w:eastAsia="zh-CN"/>
        </w:rPr>
        <w:t xml:space="preserve"> </w:t>
      </w:r>
      <w:r>
        <w:fldChar w:fldCharType="end"/>
      </w:r>
    </w:p>
    <w:p w14:paraId="2F89BB4C">
      <w:pPr>
        <w:pStyle w:val="6"/>
        <w:tabs>
          <w:tab w:val="right" w:leader="dot" w:pos="8306"/>
        </w:tabs>
      </w:pPr>
      <w:r>
        <w:fldChar w:fldCharType="begin"/>
      </w:r>
      <w:r>
        <w:instrText xml:space="preserve"> HYPERLINK \l _Toc23840 </w:instrText>
      </w:r>
      <w:r>
        <w:fldChar w:fldCharType="separate"/>
      </w:r>
      <w:r>
        <w:rPr>
          <w:rFonts w:hint="eastAsia" w:ascii="Times New Roman" w:hAnsi="Times New Roman"/>
          <w:bCs/>
          <w:szCs w:val="24"/>
        </w:rPr>
        <w:t>6.13 高空作业设备</w:t>
      </w:r>
      <w:r>
        <w:tab/>
      </w:r>
      <w:r>
        <w:rPr>
          <w:rFonts w:hint="eastAsia"/>
          <w:lang w:val="en-US" w:eastAsia="zh-CN"/>
        </w:rPr>
        <w:t xml:space="preserve"> </w:t>
      </w:r>
      <w:r>
        <w:fldChar w:fldCharType="end"/>
      </w:r>
    </w:p>
    <w:p w14:paraId="70FF14D2">
      <w:pPr>
        <w:pStyle w:val="6"/>
        <w:tabs>
          <w:tab w:val="right" w:leader="dot" w:pos="8306"/>
        </w:tabs>
        <w:rPr>
          <w:rFonts w:hint="eastAsia" w:eastAsia="宋体"/>
          <w:lang w:val="en-US" w:eastAsia="zh-CN"/>
        </w:rPr>
      </w:pPr>
      <w:r>
        <w:fldChar w:fldCharType="begin"/>
      </w:r>
      <w:r>
        <w:instrText xml:space="preserve"> HYPERLINK \l _Toc18003 </w:instrText>
      </w:r>
      <w:r>
        <w:fldChar w:fldCharType="separate"/>
      </w:r>
      <w:r>
        <w:rPr>
          <w:rFonts w:hint="eastAsia" w:ascii="Times New Roman" w:hAnsi="Times New Roman"/>
          <w:bCs/>
          <w:szCs w:val="24"/>
        </w:rPr>
        <w:t>6.14 网络、通讯设备</w:t>
      </w:r>
      <w:r>
        <w:tab/>
      </w:r>
      <w:r>
        <w:rPr>
          <w:rFonts w:hint="eastAsia"/>
          <w:lang w:val="en-US" w:eastAsia="zh-CN"/>
        </w:rPr>
        <w:t xml:space="preserve"> </w:t>
      </w:r>
    </w:p>
    <w:p w14:paraId="1C38D33C">
      <w:pPr>
        <w:pStyle w:val="6"/>
        <w:tabs>
          <w:tab w:val="right" w:leader="dot" w:pos="8306"/>
        </w:tabs>
      </w:pPr>
      <w:r>
        <w:rPr>
          <w:rFonts w:hint="eastAsia" w:ascii="Times New Roman" w:hAnsi="Times New Roman"/>
          <w:bCs/>
          <w:szCs w:val="24"/>
        </w:rPr>
        <w:t>6.15 公共消防设施</w:t>
      </w:r>
      <w:r>
        <w:tab/>
      </w:r>
      <w:r>
        <w:rPr>
          <w:rFonts w:hint="eastAsia"/>
          <w:lang w:val="en-US" w:eastAsia="zh-CN"/>
        </w:rPr>
        <w:t xml:space="preserve"> </w:t>
      </w:r>
      <w:r>
        <w:fldChar w:fldCharType="end"/>
      </w:r>
    </w:p>
    <w:p w14:paraId="34813A5C">
      <w:pPr>
        <w:pStyle w:val="5"/>
        <w:tabs>
          <w:tab w:val="right" w:leader="dot" w:pos="8306"/>
          <w:tab w:val="clear" w:pos="8505"/>
        </w:tabs>
      </w:pPr>
      <w:r>
        <w:fldChar w:fldCharType="begin"/>
      </w:r>
      <w:r>
        <w:instrText xml:space="preserve"> HYPERLINK \l _Toc24697 </w:instrText>
      </w:r>
      <w:r>
        <w:fldChar w:fldCharType="separate"/>
      </w:r>
      <w:r>
        <w:rPr>
          <w:rFonts w:hint="eastAsia"/>
          <w:b/>
          <w:bCs/>
          <w:szCs w:val="24"/>
          <w:lang w:val="en-US" w:eastAsia="zh-CN"/>
        </w:rPr>
        <w:t>7</w:t>
      </w:r>
      <w:r>
        <w:rPr>
          <w:rFonts w:ascii="Times New Roman" w:hAnsi="Times New Roman"/>
          <w:b/>
          <w:bCs/>
          <w:szCs w:val="24"/>
        </w:rPr>
        <w:t xml:space="preserve">  </w:t>
      </w:r>
      <w:r>
        <w:rPr>
          <w:rFonts w:hint="eastAsia" w:ascii="Times New Roman" w:hAnsi="Times New Roman" w:eastAsia="宋体"/>
          <w:b/>
          <w:bCs/>
          <w:szCs w:val="24"/>
        </w:rPr>
        <w:t>公共秩序维护</w:t>
      </w:r>
      <w:r>
        <w:tab/>
      </w:r>
      <w:r>
        <w:rPr>
          <w:rFonts w:hint="eastAsia"/>
          <w:lang w:val="en-US" w:eastAsia="zh-CN"/>
        </w:rPr>
        <w:t xml:space="preserve"> </w:t>
      </w:r>
      <w:r>
        <w:fldChar w:fldCharType="end"/>
      </w:r>
    </w:p>
    <w:p w14:paraId="4E817D19">
      <w:pPr>
        <w:pStyle w:val="6"/>
        <w:tabs>
          <w:tab w:val="right" w:leader="dot" w:pos="8306"/>
        </w:tabs>
      </w:pPr>
      <w:r>
        <w:fldChar w:fldCharType="begin"/>
      </w:r>
      <w:r>
        <w:instrText xml:space="preserve"> HYPERLINK \l _Toc17656 </w:instrText>
      </w:r>
      <w:r>
        <w:fldChar w:fldCharType="separate"/>
      </w:r>
      <w:r>
        <w:rPr>
          <w:rFonts w:hint="eastAsia" w:ascii="Times New Roman" w:hAnsi="Times New Roman"/>
          <w:bCs/>
          <w:szCs w:val="24"/>
        </w:rPr>
        <w:t>7.1  人员要求</w:t>
      </w:r>
      <w:r>
        <w:tab/>
      </w:r>
      <w:r>
        <w:rPr>
          <w:rFonts w:hint="eastAsia"/>
          <w:lang w:val="en-US" w:eastAsia="zh-CN"/>
        </w:rPr>
        <w:t xml:space="preserve"> </w:t>
      </w:r>
      <w:r>
        <w:fldChar w:fldCharType="end"/>
      </w:r>
    </w:p>
    <w:p w14:paraId="27B35C97">
      <w:pPr>
        <w:pStyle w:val="6"/>
        <w:tabs>
          <w:tab w:val="right" w:leader="dot" w:pos="8306"/>
        </w:tabs>
        <w:rPr>
          <w:rFonts w:hint="eastAsia" w:eastAsia="宋体"/>
          <w:lang w:val="en-US" w:eastAsia="zh-CN"/>
        </w:rPr>
      </w:pPr>
      <w:r>
        <w:fldChar w:fldCharType="begin"/>
      </w:r>
      <w:r>
        <w:instrText xml:space="preserve"> HYPERLINK \l _Toc8726 </w:instrText>
      </w:r>
      <w:r>
        <w:fldChar w:fldCharType="separate"/>
      </w:r>
      <w:r>
        <w:rPr>
          <w:rFonts w:hint="eastAsia" w:ascii="Times New Roman" w:hAnsi="Times New Roman"/>
          <w:bCs/>
          <w:szCs w:val="24"/>
        </w:rPr>
        <w:t>7.2  出入管理</w:t>
      </w:r>
      <w:r>
        <w:tab/>
      </w:r>
      <w:r>
        <w:rPr>
          <w:rFonts w:hint="eastAsia"/>
          <w:lang w:val="en-US" w:eastAsia="zh-CN"/>
        </w:rPr>
        <w:t xml:space="preserve"> </w:t>
      </w:r>
    </w:p>
    <w:p w14:paraId="6C932A2A">
      <w:pPr>
        <w:pStyle w:val="6"/>
        <w:tabs>
          <w:tab w:val="right" w:leader="dot" w:pos="8306"/>
        </w:tabs>
      </w:pPr>
      <w:r>
        <w:fldChar w:fldCharType="begin"/>
      </w:r>
      <w:r>
        <w:instrText xml:space="preserve"> HYPERLINK \l _Toc17656 </w:instrText>
      </w:r>
      <w:r>
        <w:fldChar w:fldCharType="separate"/>
      </w:r>
      <w:r>
        <w:rPr>
          <w:rFonts w:hint="eastAsia" w:ascii="Times New Roman" w:hAnsi="Times New Roman"/>
          <w:bCs/>
          <w:szCs w:val="24"/>
        </w:rPr>
        <w:t>7.3  安全监控</w:t>
      </w:r>
      <w:r>
        <w:tab/>
      </w:r>
      <w:r>
        <w:rPr>
          <w:rFonts w:hint="eastAsia"/>
          <w:lang w:val="en-US" w:eastAsia="zh-CN"/>
        </w:rPr>
        <w:t xml:space="preserve"> </w:t>
      </w:r>
      <w:r>
        <w:fldChar w:fldCharType="end"/>
      </w:r>
    </w:p>
    <w:p w14:paraId="1CBB4167">
      <w:pPr>
        <w:pStyle w:val="6"/>
        <w:tabs>
          <w:tab w:val="right" w:leader="dot" w:pos="8306"/>
        </w:tabs>
      </w:pPr>
      <w:r>
        <w:fldChar w:fldCharType="begin"/>
      </w:r>
      <w:r>
        <w:instrText xml:space="preserve"> HYPERLINK \l _Toc8726 </w:instrText>
      </w:r>
      <w:r>
        <w:fldChar w:fldCharType="separate"/>
      </w:r>
      <w:r>
        <w:rPr>
          <w:rFonts w:hint="eastAsia" w:ascii="Times New Roman" w:hAnsi="Times New Roman"/>
          <w:bCs/>
          <w:szCs w:val="24"/>
        </w:rPr>
        <w:t>7.4  巡查</w:t>
      </w:r>
      <w:r>
        <w:tab/>
      </w:r>
      <w:r>
        <w:rPr>
          <w:rFonts w:hint="eastAsia"/>
          <w:lang w:val="en-US" w:eastAsia="zh-CN"/>
        </w:rPr>
        <w:t xml:space="preserve"> </w:t>
      </w:r>
      <w:r>
        <w:fldChar w:fldCharType="end"/>
      </w:r>
    </w:p>
    <w:p w14:paraId="52DED086">
      <w:pPr>
        <w:pStyle w:val="6"/>
        <w:tabs>
          <w:tab w:val="right" w:leader="dot" w:pos="8306"/>
        </w:tabs>
      </w:pPr>
      <w:r>
        <w:fldChar w:fldCharType="begin"/>
      </w:r>
      <w:r>
        <w:instrText xml:space="preserve"> HYPERLINK \l _Toc17656 </w:instrText>
      </w:r>
      <w:r>
        <w:fldChar w:fldCharType="separate"/>
      </w:r>
      <w:r>
        <w:rPr>
          <w:rFonts w:hint="eastAsia" w:ascii="Times New Roman" w:hAnsi="Times New Roman"/>
          <w:bCs/>
          <w:szCs w:val="24"/>
        </w:rPr>
        <w:t>7.5  车辆管理</w:t>
      </w:r>
      <w:r>
        <w:tab/>
      </w:r>
      <w:r>
        <w:rPr>
          <w:rFonts w:hint="eastAsia"/>
          <w:lang w:val="en-US" w:eastAsia="zh-CN"/>
        </w:rPr>
        <w:t xml:space="preserve"> </w:t>
      </w:r>
      <w:r>
        <w:fldChar w:fldCharType="end"/>
      </w:r>
    </w:p>
    <w:p w14:paraId="19E621DB">
      <w:pPr>
        <w:pStyle w:val="6"/>
        <w:tabs>
          <w:tab w:val="right" w:leader="dot" w:pos="8306"/>
        </w:tabs>
      </w:pPr>
      <w:r>
        <w:fldChar w:fldCharType="begin"/>
      </w:r>
      <w:r>
        <w:instrText xml:space="preserve"> HYPERLINK \l _Toc8726 </w:instrText>
      </w:r>
      <w:r>
        <w:fldChar w:fldCharType="separate"/>
      </w:r>
      <w:r>
        <w:rPr>
          <w:rFonts w:hint="eastAsia" w:ascii="Times New Roman" w:hAnsi="Times New Roman"/>
          <w:bCs/>
          <w:szCs w:val="24"/>
        </w:rPr>
        <w:t>7.6  突发事件处理</w:t>
      </w:r>
      <w:r>
        <w:tab/>
      </w:r>
      <w:r>
        <w:rPr>
          <w:rFonts w:hint="eastAsia"/>
          <w:lang w:val="en-US" w:eastAsia="zh-CN"/>
        </w:rPr>
        <w:t xml:space="preserve"> </w:t>
      </w:r>
      <w:r>
        <w:fldChar w:fldCharType="end"/>
      </w:r>
      <w:r>
        <w:fldChar w:fldCharType="end"/>
      </w:r>
    </w:p>
    <w:p w14:paraId="2492A25F">
      <w:pPr>
        <w:pStyle w:val="5"/>
        <w:tabs>
          <w:tab w:val="right" w:leader="dot" w:pos="8306"/>
          <w:tab w:val="clear" w:pos="8505"/>
        </w:tabs>
      </w:pPr>
      <w:r>
        <w:fldChar w:fldCharType="begin"/>
      </w:r>
      <w:r>
        <w:instrText xml:space="preserve"> HYPERLINK \l _Toc16543 </w:instrText>
      </w:r>
      <w:r>
        <w:fldChar w:fldCharType="separate"/>
      </w:r>
      <w:r>
        <w:rPr>
          <w:rFonts w:hint="eastAsia"/>
          <w:b/>
          <w:bCs/>
          <w:szCs w:val="24"/>
          <w:lang w:val="en-US" w:eastAsia="zh-CN"/>
        </w:rPr>
        <w:t>8</w:t>
      </w:r>
      <w:r>
        <w:rPr>
          <w:rFonts w:ascii="Times New Roman" w:hAnsi="Times New Roman"/>
          <w:b/>
          <w:bCs/>
          <w:szCs w:val="24"/>
        </w:rPr>
        <w:t xml:space="preserve">  </w:t>
      </w:r>
      <w:r>
        <w:rPr>
          <w:rFonts w:hint="eastAsia" w:ascii="Times New Roman" w:hAnsi="Times New Roman" w:eastAsia="宋体"/>
          <w:b/>
          <w:bCs/>
          <w:szCs w:val="24"/>
        </w:rPr>
        <w:t>环境卫生</w:t>
      </w:r>
      <w:r>
        <w:tab/>
      </w:r>
      <w:r>
        <w:rPr>
          <w:rFonts w:hint="eastAsia"/>
          <w:lang w:val="en-US" w:eastAsia="zh-CN"/>
        </w:rPr>
        <w:t xml:space="preserve"> </w:t>
      </w:r>
      <w:r>
        <w:fldChar w:fldCharType="end"/>
      </w:r>
    </w:p>
    <w:p w14:paraId="43BED0F4">
      <w:pPr>
        <w:pStyle w:val="6"/>
        <w:tabs>
          <w:tab w:val="right" w:leader="dot" w:pos="8306"/>
        </w:tabs>
      </w:pPr>
      <w:r>
        <w:fldChar w:fldCharType="begin"/>
      </w:r>
      <w:r>
        <w:instrText xml:space="preserve"> HYPERLINK \l _Toc585 </w:instrText>
      </w:r>
      <w:r>
        <w:fldChar w:fldCharType="separate"/>
      </w:r>
      <w:r>
        <w:rPr>
          <w:rFonts w:hint="eastAsia" w:ascii="Times New Roman" w:hAnsi="Times New Roman"/>
          <w:bCs/>
          <w:szCs w:val="24"/>
        </w:rPr>
        <w:t>8.1  一般规定</w:t>
      </w:r>
      <w:r>
        <w:tab/>
      </w:r>
      <w:r>
        <w:rPr>
          <w:rFonts w:hint="eastAsia"/>
          <w:lang w:val="en-US" w:eastAsia="zh-CN"/>
        </w:rPr>
        <w:t xml:space="preserve"> </w:t>
      </w:r>
      <w:r>
        <w:fldChar w:fldCharType="end"/>
      </w:r>
    </w:p>
    <w:p w14:paraId="33006608">
      <w:pPr>
        <w:pStyle w:val="6"/>
        <w:tabs>
          <w:tab w:val="right" w:leader="dot" w:pos="8306"/>
        </w:tabs>
      </w:pPr>
      <w:r>
        <w:fldChar w:fldCharType="begin"/>
      </w:r>
      <w:r>
        <w:instrText xml:space="preserve"> HYPERLINK \l _Toc26790 </w:instrText>
      </w:r>
      <w:r>
        <w:fldChar w:fldCharType="separate"/>
      </w:r>
      <w:r>
        <w:rPr>
          <w:rFonts w:hint="eastAsia" w:ascii="Times New Roman" w:hAnsi="Times New Roman"/>
          <w:bCs/>
          <w:szCs w:val="24"/>
        </w:rPr>
        <w:t>8.2  楼内保洁</w:t>
      </w:r>
      <w:r>
        <w:tab/>
      </w:r>
      <w:r>
        <w:rPr>
          <w:rFonts w:hint="eastAsia"/>
          <w:lang w:val="en-US" w:eastAsia="zh-CN"/>
        </w:rPr>
        <w:t xml:space="preserve"> </w:t>
      </w:r>
      <w:r>
        <w:fldChar w:fldCharType="end"/>
      </w:r>
    </w:p>
    <w:p w14:paraId="34BDD17B">
      <w:pPr>
        <w:pStyle w:val="6"/>
        <w:tabs>
          <w:tab w:val="right" w:leader="dot" w:pos="8306"/>
        </w:tabs>
      </w:pPr>
      <w:r>
        <w:fldChar w:fldCharType="begin"/>
      </w:r>
      <w:r>
        <w:instrText xml:space="preserve"> HYPERLINK \l _Toc27119 </w:instrText>
      </w:r>
      <w:r>
        <w:fldChar w:fldCharType="separate"/>
      </w:r>
      <w:r>
        <w:rPr>
          <w:rFonts w:hint="eastAsia" w:ascii="Times New Roman" w:hAnsi="Times New Roman"/>
          <w:bCs/>
          <w:szCs w:val="24"/>
        </w:rPr>
        <w:t>8.3  楼外保洁</w:t>
      </w:r>
      <w:r>
        <w:tab/>
      </w:r>
      <w:r>
        <w:rPr>
          <w:rFonts w:hint="eastAsia"/>
          <w:lang w:val="en-US" w:eastAsia="zh-CN"/>
        </w:rPr>
        <w:t xml:space="preserve"> </w:t>
      </w:r>
      <w:r>
        <w:fldChar w:fldCharType="end"/>
      </w:r>
    </w:p>
    <w:p w14:paraId="6A60B198">
      <w:pPr>
        <w:pStyle w:val="6"/>
        <w:tabs>
          <w:tab w:val="right" w:leader="dot" w:pos="8306"/>
        </w:tabs>
      </w:pPr>
      <w:r>
        <w:fldChar w:fldCharType="begin"/>
      </w:r>
      <w:r>
        <w:instrText xml:space="preserve"> HYPERLINK \l _Toc26022 </w:instrText>
      </w:r>
      <w:r>
        <w:fldChar w:fldCharType="separate"/>
      </w:r>
      <w:r>
        <w:rPr>
          <w:rFonts w:hint="eastAsia" w:ascii="Times New Roman" w:hAnsi="Times New Roman"/>
          <w:bCs/>
          <w:szCs w:val="24"/>
        </w:rPr>
        <w:t>8.4  垃圾收集与整理</w:t>
      </w:r>
      <w:r>
        <w:tab/>
      </w:r>
      <w:r>
        <w:rPr>
          <w:rFonts w:hint="eastAsia"/>
          <w:lang w:val="en-US" w:eastAsia="zh-CN"/>
        </w:rPr>
        <w:t xml:space="preserve"> </w:t>
      </w:r>
      <w:r>
        <w:fldChar w:fldCharType="end"/>
      </w:r>
    </w:p>
    <w:p w14:paraId="20202C7F">
      <w:pPr>
        <w:pStyle w:val="6"/>
        <w:tabs>
          <w:tab w:val="right" w:leader="dot" w:pos="8306"/>
        </w:tabs>
      </w:pPr>
      <w:r>
        <w:fldChar w:fldCharType="begin"/>
      </w:r>
      <w:r>
        <w:instrText xml:space="preserve"> HYPERLINK \l _Toc27119 </w:instrText>
      </w:r>
      <w:r>
        <w:fldChar w:fldCharType="separate"/>
      </w:r>
      <w:r>
        <w:rPr>
          <w:rFonts w:hint="eastAsia"/>
          <w:lang w:val="en-US" w:eastAsia="zh-CN"/>
        </w:rPr>
        <w:t>8.5  消杀管理</w:t>
      </w:r>
      <w:r>
        <w:tab/>
      </w:r>
      <w:r>
        <w:rPr>
          <w:rFonts w:hint="eastAsia"/>
          <w:lang w:val="en-US" w:eastAsia="zh-CN"/>
        </w:rPr>
        <w:t xml:space="preserve"> </w:t>
      </w:r>
      <w:r>
        <w:fldChar w:fldCharType="end"/>
      </w:r>
    </w:p>
    <w:p w14:paraId="184EAD23">
      <w:pPr>
        <w:pStyle w:val="5"/>
        <w:tabs>
          <w:tab w:val="right" w:leader="dot" w:pos="8306"/>
          <w:tab w:val="clear" w:pos="8505"/>
        </w:tabs>
      </w:pPr>
      <w:r>
        <w:fldChar w:fldCharType="begin"/>
      </w:r>
      <w:r>
        <w:instrText xml:space="preserve"> HYPERLINK \l _Toc23996 </w:instrText>
      </w:r>
      <w:r>
        <w:fldChar w:fldCharType="separate"/>
      </w:r>
      <w:r>
        <w:rPr>
          <w:rFonts w:hint="eastAsia"/>
          <w:b/>
          <w:bCs/>
          <w:lang w:val="en-US" w:eastAsia="zh-CN"/>
        </w:rPr>
        <w:t>9</w:t>
      </w:r>
      <w:r>
        <w:rPr>
          <w:b/>
          <w:bCs/>
        </w:rPr>
        <w:t xml:space="preserve">  </w:t>
      </w:r>
      <w:r>
        <w:rPr>
          <w:rFonts w:hint="eastAsia"/>
          <w:b/>
          <w:bCs/>
          <w:lang w:val="en-US" w:eastAsia="zh-CN"/>
        </w:rPr>
        <w:t>绿化养护</w:t>
      </w:r>
      <w:r>
        <w:tab/>
      </w:r>
      <w:r>
        <w:rPr>
          <w:rFonts w:hint="eastAsia"/>
          <w:lang w:val="en-US" w:eastAsia="zh-CN"/>
        </w:rPr>
        <w:t xml:space="preserve"> </w:t>
      </w:r>
      <w:r>
        <w:fldChar w:fldCharType="end"/>
      </w:r>
    </w:p>
    <w:p w14:paraId="134AAE93">
      <w:pPr>
        <w:pStyle w:val="6"/>
        <w:tabs>
          <w:tab w:val="right" w:leader="dot" w:pos="8306"/>
        </w:tabs>
      </w:pPr>
      <w:r>
        <w:fldChar w:fldCharType="begin"/>
      </w:r>
      <w:r>
        <w:instrText xml:space="preserve"> HYPERLINK \l _Toc13819 </w:instrText>
      </w:r>
      <w:r>
        <w:fldChar w:fldCharType="separate"/>
      </w:r>
      <w:r>
        <w:rPr>
          <w:rFonts w:hint="eastAsia"/>
          <w:lang w:val="en-US" w:eastAsia="zh-CN"/>
        </w:rPr>
        <w:t>9.1</w:t>
      </w:r>
      <w:r>
        <w:t xml:space="preserve">  </w:t>
      </w:r>
      <w:r>
        <w:rPr>
          <w:rFonts w:hint="eastAsia"/>
          <w:lang w:val="en-US" w:eastAsia="zh-CN"/>
        </w:rPr>
        <w:t>一般规定</w:t>
      </w:r>
      <w:r>
        <w:tab/>
      </w:r>
      <w:r>
        <w:rPr>
          <w:rFonts w:hint="eastAsia"/>
          <w:lang w:val="en-US" w:eastAsia="zh-CN"/>
        </w:rPr>
        <w:t xml:space="preserve"> </w:t>
      </w:r>
      <w:r>
        <w:fldChar w:fldCharType="end"/>
      </w:r>
    </w:p>
    <w:p w14:paraId="64598EB1">
      <w:pPr>
        <w:pStyle w:val="6"/>
        <w:tabs>
          <w:tab w:val="right" w:leader="dot" w:pos="8306"/>
        </w:tabs>
      </w:pPr>
      <w:r>
        <w:fldChar w:fldCharType="begin"/>
      </w:r>
      <w:r>
        <w:instrText xml:space="preserve"> HYPERLINK \l _Toc9519 </w:instrText>
      </w:r>
      <w:r>
        <w:fldChar w:fldCharType="separate"/>
      </w:r>
      <w:r>
        <w:rPr>
          <w:rFonts w:hint="eastAsia"/>
          <w:lang w:val="en-US" w:eastAsia="zh-CN"/>
        </w:rPr>
        <w:t>9.2</w:t>
      </w:r>
      <w:r>
        <w:t xml:space="preserve">  </w:t>
      </w:r>
      <w:r>
        <w:rPr>
          <w:rFonts w:hint="eastAsia"/>
          <w:lang w:val="en-US" w:eastAsia="zh-CN"/>
        </w:rPr>
        <w:t>楼内绿化</w:t>
      </w:r>
      <w:r>
        <w:tab/>
      </w:r>
      <w:r>
        <w:rPr>
          <w:rFonts w:hint="eastAsia"/>
          <w:lang w:val="en-US" w:eastAsia="zh-CN"/>
        </w:rPr>
        <w:t xml:space="preserve"> </w:t>
      </w:r>
      <w:r>
        <w:fldChar w:fldCharType="end"/>
      </w:r>
    </w:p>
    <w:p w14:paraId="4384E319">
      <w:pPr>
        <w:pStyle w:val="6"/>
        <w:tabs>
          <w:tab w:val="right" w:leader="dot" w:pos="8306"/>
        </w:tabs>
      </w:pPr>
      <w:r>
        <w:fldChar w:fldCharType="begin"/>
      </w:r>
      <w:r>
        <w:instrText xml:space="preserve"> HYPERLINK \l _Toc879 </w:instrText>
      </w:r>
      <w:r>
        <w:fldChar w:fldCharType="separate"/>
      </w:r>
      <w:r>
        <w:rPr>
          <w:rFonts w:hint="eastAsia"/>
          <w:lang w:val="en-US" w:eastAsia="zh-CN"/>
        </w:rPr>
        <w:t>9.3</w:t>
      </w:r>
      <w:r>
        <w:t xml:space="preserve">  </w:t>
      </w:r>
      <w:r>
        <w:rPr>
          <w:rFonts w:hint="eastAsia"/>
          <w:lang w:val="en-US" w:eastAsia="zh-CN"/>
        </w:rPr>
        <w:t>楼外绿化</w:t>
      </w:r>
      <w:r>
        <w:tab/>
      </w:r>
      <w:r>
        <w:rPr>
          <w:rFonts w:hint="eastAsia"/>
          <w:lang w:val="en-US" w:eastAsia="zh-CN"/>
        </w:rPr>
        <w:t xml:space="preserve"> </w:t>
      </w:r>
      <w:r>
        <w:fldChar w:fldCharType="end"/>
      </w:r>
    </w:p>
    <w:p w14:paraId="19B5F44A">
      <w:pPr>
        <w:pStyle w:val="5"/>
        <w:tabs>
          <w:tab w:val="right" w:leader="dot" w:pos="8306"/>
          <w:tab w:val="clear" w:pos="8505"/>
        </w:tabs>
      </w:pPr>
      <w:r>
        <w:fldChar w:fldCharType="begin"/>
      </w:r>
      <w:r>
        <w:instrText xml:space="preserve"> HYPERLINK \l _Toc32393 </w:instrText>
      </w:r>
      <w:r>
        <w:fldChar w:fldCharType="separate"/>
      </w:r>
      <w:r>
        <w:rPr>
          <w:rFonts w:hint="eastAsia" w:eastAsia="宋体"/>
        </w:rPr>
        <w:t>本标准用词说明</w:t>
      </w:r>
      <w:r>
        <w:tab/>
      </w:r>
      <w:r>
        <w:rPr>
          <w:rFonts w:hint="eastAsia"/>
          <w:lang w:val="en-US" w:eastAsia="zh-CN"/>
        </w:rPr>
        <w:t xml:space="preserve"> </w:t>
      </w:r>
      <w:r>
        <w:fldChar w:fldCharType="end"/>
      </w:r>
    </w:p>
    <w:p w14:paraId="2607B3F2">
      <w:pPr>
        <w:pStyle w:val="5"/>
        <w:tabs>
          <w:tab w:val="right" w:leader="dot" w:pos="8306"/>
          <w:tab w:val="clear" w:pos="8505"/>
        </w:tabs>
      </w:pPr>
      <w:r>
        <w:fldChar w:fldCharType="begin"/>
      </w:r>
      <w:r>
        <w:instrText xml:space="preserve"> HYPERLINK \l _Toc26975 </w:instrText>
      </w:r>
      <w:r>
        <w:fldChar w:fldCharType="separate"/>
      </w:r>
      <w:r>
        <w:rPr>
          <w:rFonts w:hint="eastAsia"/>
          <w:lang w:val="en-US" w:eastAsia="zh-CN"/>
        </w:rPr>
        <w:t>引用标准目录</w:t>
      </w:r>
      <w:r>
        <w:tab/>
      </w:r>
      <w:r>
        <w:rPr>
          <w:rFonts w:hint="eastAsia"/>
          <w:lang w:val="en-US" w:eastAsia="zh-CN"/>
        </w:rPr>
        <w:t xml:space="preserve"> </w:t>
      </w:r>
      <w:r>
        <w:fldChar w:fldCharType="end"/>
      </w:r>
    </w:p>
    <w:p w14:paraId="7DAFFAB3">
      <w:pPr>
        <w:pStyle w:val="5"/>
        <w:tabs>
          <w:tab w:val="right" w:leader="dot" w:pos="8306"/>
          <w:tab w:val="clear" w:pos="8505"/>
        </w:tabs>
      </w:pPr>
    </w:p>
    <w:p w14:paraId="5E800975">
      <w:pPr>
        <w:pStyle w:val="5"/>
        <w:tabs>
          <w:tab w:val="right" w:leader="dot" w:pos="8306"/>
          <w:tab w:val="clear" w:pos="8505"/>
        </w:tabs>
      </w:pPr>
      <w:r>
        <w:fldChar w:fldCharType="end"/>
      </w:r>
    </w:p>
    <w:p w14:paraId="02FC0412">
      <w:pPr>
        <w:pStyle w:val="12"/>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sectPr>
          <w:pgSz w:w="11906" w:h="16838"/>
          <w:pgMar w:top="1440" w:right="1800" w:bottom="1440" w:left="1800" w:header="851" w:footer="992" w:gutter="0"/>
          <w:cols w:space="425" w:num="1"/>
          <w:docGrid w:type="lines" w:linePitch="312" w:charSpace="0"/>
        </w:sectPr>
      </w:pPr>
    </w:p>
    <w:p w14:paraId="3B40E351">
      <w:pPr>
        <w:pStyle w:val="12"/>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pPr>
    </w:p>
    <w:p w14:paraId="33F38718">
      <w:pPr>
        <w:pStyle w:val="12"/>
        <w:numPr>
          <w:ilvl w:val="0"/>
          <w:numId w:val="0"/>
        </w:numPr>
        <w:rPr>
          <w:rFonts w:hint="eastAsia"/>
          <w:lang w:val="en-US" w:eastAsia="zh-CN"/>
        </w:rPr>
      </w:pPr>
      <w:bookmarkStart w:id="23" w:name="_Toc5015"/>
      <w:r>
        <w:rPr>
          <w:rFonts w:hint="eastAsia"/>
          <w:lang w:val="en-US" w:eastAsia="zh-CN"/>
        </w:rPr>
        <w:t>1  总   则</w:t>
      </w:r>
      <w:bookmarkEnd w:id="23"/>
    </w:p>
    <w:p w14:paraId="6BA4A1B4">
      <w:pPr>
        <w:pStyle w:val="13"/>
        <w:pageBreakBefore w:val="0"/>
        <w:widowControl w:val="0"/>
        <w:kinsoku/>
        <w:wordWrap/>
        <w:overflowPunct/>
        <w:topLinePunct w:val="0"/>
        <w:autoSpaceDE/>
        <w:autoSpaceDN/>
        <w:bidi w:val="0"/>
        <w:adjustRightInd/>
        <w:snapToGrid/>
        <w:spacing w:line="360" w:lineRule="auto"/>
        <w:textAlignment w:val="auto"/>
      </w:pPr>
      <w:r>
        <w:rPr>
          <w:rFonts w:hint="eastAsia"/>
          <w:b/>
          <w:bCs/>
        </w:rPr>
        <w:t>1</w:t>
      </w:r>
      <w:r>
        <w:rPr>
          <w:b/>
          <w:bCs/>
        </w:rPr>
        <w:t>.</w:t>
      </w:r>
      <w:r>
        <w:rPr>
          <w:rFonts w:hint="eastAsia"/>
          <w:b/>
          <w:bCs/>
        </w:rPr>
        <w:t>0.1</w:t>
      </w:r>
      <w:r>
        <w:t xml:space="preserve">  </w:t>
      </w:r>
      <w:r>
        <w:rPr>
          <w:rFonts w:hint="eastAsia"/>
        </w:rPr>
        <w:t>为规范写字楼物业服务人经营行为，提高物业服务水平，保障客户和物业服务企业的合法权益，促进写字楼物业服务的健康发展，实现物业服务的标准化、规范化、专业化，投资环境优质化、社会环境和谐化、维护广大群众和投资者的权益，结合本省实际情况，制定本标准。</w:t>
      </w:r>
    </w:p>
    <w:p w14:paraId="798F6E70">
      <w:pPr>
        <w:pStyle w:val="13"/>
        <w:pageBreakBefore w:val="0"/>
        <w:widowControl w:val="0"/>
        <w:kinsoku/>
        <w:wordWrap/>
        <w:overflowPunct/>
        <w:topLinePunct w:val="0"/>
        <w:autoSpaceDE/>
        <w:autoSpaceDN/>
        <w:bidi w:val="0"/>
        <w:adjustRightInd/>
        <w:snapToGrid/>
        <w:spacing w:line="360" w:lineRule="auto"/>
        <w:textAlignment w:val="auto"/>
        <w:rPr>
          <w:color w:val="000000"/>
          <w:szCs w:val="24"/>
        </w:rPr>
      </w:pPr>
      <w:bookmarkStart w:id="24" w:name="_Toc55682639"/>
      <w:bookmarkStart w:id="25" w:name="_Toc55682615"/>
      <w:r>
        <w:rPr>
          <w:rFonts w:hint="eastAsia"/>
          <w:b/>
          <w:bCs/>
          <w:color w:val="000000"/>
          <w:szCs w:val="24"/>
        </w:rPr>
        <w:t>1</w:t>
      </w:r>
      <w:r>
        <w:rPr>
          <w:b/>
          <w:bCs/>
          <w:color w:val="000000"/>
          <w:szCs w:val="24"/>
        </w:rPr>
        <w:t>.</w:t>
      </w:r>
      <w:r>
        <w:rPr>
          <w:rFonts w:hint="eastAsia"/>
          <w:b/>
          <w:bCs/>
          <w:color w:val="000000"/>
          <w:szCs w:val="24"/>
        </w:rPr>
        <w:t>0.2</w:t>
      </w:r>
      <w:r>
        <w:rPr>
          <w:b/>
          <w:bCs/>
          <w:color w:val="000000"/>
          <w:szCs w:val="24"/>
        </w:rPr>
        <w:t xml:space="preserve"> </w:t>
      </w:r>
      <w:r>
        <w:rPr>
          <w:color w:val="000000"/>
          <w:szCs w:val="24"/>
        </w:rPr>
        <w:t xml:space="preserve"> </w:t>
      </w:r>
      <w:r>
        <w:rPr>
          <w:rFonts w:hint="eastAsia"/>
          <w:color w:val="000000"/>
          <w:szCs w:val="24"/>
        </w:rPr>
        <w:t>本标准适用于山西省行政区域内的写字楼物业服务活动。</w:t>
      </w:r>
      <w:bookmarkEnd w:id="24"/>
      <w:bookmarkEnd w:id="25"/>
    </w:p>
    <w:p w14:paraId="164C48ED">
      <w:pPr>
        <w:pStyle w:val="13"/>
        <w:pageBreakBefore w:val="0"/>
        <w:widowControl w:val="0"/>
        <w:kinsoku/>
        <w:wordWrap/>
        <w:overflowPunct/>
        <w:topLinePunct w:val="0"/>
        <w:autoSpaceDE/>
        <w:autoSpaceDN/>
        <w:bidi w:val="0"/>
        <w:adjustRightInd/>
        <w:snapToGrid/>
        <w:spacing w:line="360" w:lineRule="auto"/>
        <w:textAlignment w:val="auto"/>
        <w:rPr>
          <w:rFonts w:hint="eastAsia"/>
          <w:color w:val="000000"/>
          <w:szCs w:val="24"/>
        </w:rPr>
      </w:pPr>
      <w:bookmarkStart w:id="26" w:name="_Toc55682616"/>
      <w:bookmarkStart w:id="27" w:name="_Toc55682640"/>
      <w:r>
        <w:rPr>
          <w:rFonts w:hint="eastAsia"/>
          <w:b/>
          <w:bCs/>
          <w:color w:val="000000"/>
          <w:szCs w:val="24"/>
        </w:rPr>
        <w:t>1</w:t>
      </w:r>
      <w:r>
        <w:rPr>
          <w:b/>
          <w:bCs/>
          <w:color w:val="000000"/>
          <w:szCs w:val="24"/>
        </w:rPr>
        <w:t>.</w:t>
      </w:r>
      <w:r>
        <w:rPr>
          <w:rFonts w:hint="eastAsia"/>
          <w:b/>
          <w:bCs/>
          <w:color w:val="000000"/>
          <w:szCs w:val="24"/>
        </w:rPr>
        <w:t>0.</w:t>
      </w:r>
      <w:r>
        <w:rPr>
          <w:b/>
          <w:bCs/>
          <w:color w:val="000000"/>
          <w:szCs w:val="24"/>
        </w:rPr>
        <w:t xml:space="preserve">3  </w:t>
      </w:r>
      <w:r>
        <w:rPr>
          <w:rFonts w:hint="eastAsia"/>
          <w:color w:val="000000"/>
          <w:szCs w:val="24"/>
        </w:rPr>
        <w:t>物业服务人应与业主、物业使用人签订《物业服务合同》，合同中约定的服务标准应不低于本标准的规定。</w:t>
      </w:r>
      <w:bookmarkEnd w:id="26"/>
      <w:bookmarkEnd w:id="27"/>
    </w:p>
    <w:p w14:paraId="4BEE8C08">
      <w:pPr>
        <w:pStyle w:val="13"/>
        <w:pageBreakBefore w:val="0"/>
        <w:widowControl w:val="0"/>
        <w:kinsoku/>
        <w:wordWrap/>
        <w:overflowPunct/>
        <w:topLinePunct w:val="0"/>
        <w:autoSpaceDE/>
        <w:autoSpaceDN/>
        <w:bidi w:val="0"/>
        <w:adjustRightInd/>
        <w:snapToGrid/>
        <w:spacing w:line="360" w:lineRule="auto"/>
        <w:textAlignment w:val="auto"/>
        <w:rPr>
          <w:rFonts w:hint="eastAsia"/>
          <w:color w:val="000000"/>
          <w:szCs w:val="24"/>
        </w:rPr>
      </w:pPr>
      <w:r>
        <w:rPr>
          <w:rFonts w:hint="eastAsia"/>
          <w:b/>
          <w:bCs/>
          <w:color w:val="000000"/>
          <w:szCs w:val="24"/>
        </w:rPr>
        <w:t>1</w:t>
      </w:r>
      <w:r>
        <w:rPr>
          <w:b/>
          <w:bCs/>
          <w:color w:val="000000"/>
          <w:szCs w:val="24"/>
        </w:rPr>
        <w:t>.</w:t>
      </w:r>
      <w:r>
        <w:rPr>
          <w:rFonts w:hint="eastAsia"/>
          <w:b/>
          <w:bCs/>
          <w:color w:val="000000"/>
          <w:szCs w:val="24"/>
        </w:rPr>
        <w:t>0.</w:t>
      </w:r>
      <w:r>
        <w:rPr>
          <w:rFonts w:hint="eastAsia"/>
          <w:b/>
          <w:bCs/>
          <w:color w:val="000000"/>
          <w:szCs w:val="24"/>
          <w:lang w:val="en-US" w:eastAsia="zh-CN"/>
        </w:rPr>
        <w:t>4</w:t>
      </w:r>
      <w:r>
        <w:rPr>
          <w:b/>
          <w:bCs/>
          <w:color w:val="000000"/>
          <w:szCs w:val="24"/>
        </w:rPr>
        <w:t xml:space="preserve">  </w:t>
      </w:r>
      <w:r>
        <w:rPr>
          <w:rFonts w:hint="eastAsia"/>
          <w:color w:val="000000"/>
          <w:szCs w:val="24"/>
        </w:rPr>
        <w:t>写字楼物业服务除应遵守本标准外，尚应符合国家、行业及我省现行其他有关标准的规定。</w:t>
      </w:r>
    </w:p>
    <w:p w14:paraId="717DEB06">
      <w:pPr>
        <w:pStyle w:val="13"/>
        <w:rPr>
          <w:rFonts w:hint="eastAsia"/>
          <w:color w:val="000000"/>
          <w:szCs w:val="24"/>
        </w:rPr>
      </w:pPr>
    </w:p>
    <w:p w14:paraId="58926C7C">
      <w:pPr>
        <w:pStyle w:val="13"/>
        <w:rPr>
          <w:rFonts w:hint="eastAsia"/>
          <w:color w:val="000000"/>
          <w:szCs w:val="24"/>
        </w:rPr>
      </w:pPr>
    </w:p>
    <w:p w14:paraId="75BF21CA">
      <w:pPr>
        <w:spacing w:line="600" w:lineRule="exact"/>
        <w:ind w:right="-128" w:rightChars="-61"/>
        <w:jc w:val="both"/>
        <w:outlineLvl w:val="9"/>
      </w:pPr>
    </w:p>
    <w:p w14:paraId="728B1EEF">
      <w:pPr>
        <w:spacing w:line="600" w:lineRule="exact"/>
        <w:ind w:right="-128" w:rightChars="-61"/>
        <w:jc w:val="both"/>
        <w:outlineLvl w:val="9"/>
      </w:pPr>
    </w:p>
    <w:p w14:paraId="10C12CFA">
      <w:pPr>
        <w:spacing w:line="600" w:lineRule="exact"/>
        <w:ind w:right="-128" w:rightChars="-61"/>
        <w:jc w:val="both"/>
        <w:outlineLvl w:val="9"/>
      </w:pPr>
    </w:p>
    <w:p w14:paraId="1AC49041">
      <w:pPr>
        <w:spacing w:line="600" w:lineRule="exact"/>
        <w:ind w:right="-128" w:rightChars="-61"/>
        <w:jc w:val="both"/>
        <w:outlineLvl w:val="9"/>
      </w:pPr>
    </w:p>
    <w:p w14:paraId="139EE79F">
      <w:pPr>
        <w:spacing w:line="600" w:lineRule="exact"/>
        <w:ind w:right="-128" w:rightChars="-61"/>
        <w:jc w:val="both"/>
        <w:outlineLvl w:val="9"/>
      </w:pPr>
    </w:p>
    <w:p w14:paraId="6F3EE224">
      <w:pPr>
        <w:spacing w:line="600" w:lineRule="exact"/>
        <w:ind w:right="-128" w:rightChars="-61"/>
        <w:jc w:val="both"/>
        <w:outlineLvl w:val="9"/>
      </w:pPr>
    </w:p>
    <w:p w14:paraId="547047F5">
      <w:pPr>
        <w:spacing w:line="600" w:lineRule="exact"/>
        <w:ind w:right="-128" w:rightChars="-61"/>
        <w:jc w:val="both"/>
        <w:outlineLvl w:val="9"/>
      </w:pPr>
    </w:p>
    <w:p w14:paraId="15FA70F5">
      <w:pPr>
        <w:spacing w:line="600" w:lineRule="exact"/>
        <w:ind w:right="-128" w:rightChars="-61"/>
        <w:jc w:val="both"/>
        <w:outlineLvl w:val="9"/>
      </w:pPr>
    </w:p>
    <w:p w14:paraId="083CAC9F">
      <w:pPr>
        <w:spacing w:line="600" w:lineRule="exact"/>
        <w:ind w:right="-128" w:rightChars="-61"/>
        <w:jc w:val="both"/>
        <w:outlineLvl w:val="9"/>
      </w:pPr>
    </w:p>
    <w:p w14:paraId="1B47548F">
      <w:pPr>
        <w:pStyle w:val="12"/>
        <w:numPr>
          <w:ilvl w:val="0"/>
          <w:numId w:val="0"/>
        </w:numPr>
        <w:rPr>
          <w:rFonts w:hint="eastAsia"/>
          <w:lang w:val="en-US" w:eastAsia="zh-CN"/>
        </w:rPr>
      </w:pPr>
      <w:bookmarkStart w:id="28" w:name="_Toc135149288"/>
      <w:bookmarkStart w:id="29" w:name="_Toc18917"/>
      <w:bookmarkStart w:id="30" w:name="_Toc30016"/>
      <w:bookmarkStart w:id="31" w:name="_Toc135127766"/>
      <w:bookmarkStart w:id="32" w:name="_Toc135129670"/>
      <w:r>
        <w:rPr>
          <w:rFonts w:hint="eastAsia"/>
          <w:lang w:val="en-US" w:eastAsia="zh-CN"/>
        </w:rPr>
        <w:t>2  术   语</w:t>
      </w:r>
      <w:bookmarkEnd w:id="28"/>
      <w:bookmarkEnd w:id="29"/>
      <w:bookmarkEnd w:id="30"/>
      <w:bookmarkEnd w:id="31"/>
      <w:bookmarkEnd w:id="32"/>
    </w:p>
    <w:p w14:paraId="3B63B08B">
      <w:pPr>
        <w:spacing w:line="360" w:lineRule="auto"/>
        <w:outlineLvl w:val="1"/>
        <w:rPr>
          <w:rFonts w:ascii="Times New Roman" w:hAnsi="Times New Roman"/>
          <w:sz w:val="24"/>
        </w:rPr>
      </w:pPr>
      <w:bookmarkStart w:id="33" w:name="_Toc27506"/>
      <w:r>
        <w:rPr>
          <w:rFonts w:ascii="Times New Roman" w:hAnsi="Times New Roman"/>
          <w:b/>
          <w:sz w:val="24"/>
        </w:rPr>
        <w:t>2.0.1</w:t>
      </w:r>
      <w:r>
        <w:rPr>
          <w:rFonts w:ascii="Times New Roman" w:hAnsi="Times New Roman"/>
          <w:sz w:val="24"/>
        </w:rPr>
        <w:t xml:space="preserve">  </w:t>
      </w:r>
      <w:r>
        <w:rPr>
          <w:rFonts w:hint="eastAsia" w:ascii="Times New Roman" w:hAnsi="Times New Roman"/>
          <w:sz w:val="24"/>
        </w:rPr>
        <w:t>物业管理</w:t>
      </w:r>
      <w:r>
        <w:rPr>
          <w:rFonts w:ascii="Times New Roman" w:hAnsi="Times New Roman"/>
          <w:sz w:val="24"/>
        </w:rPr>
        <w:t xml:space="preserve">   </w:t>
      </w:r>
      <w:r>
        <w:rPr>
          <w:rFonts w:hint="eastAsia" w:ascii="Times New Roman" w:hAnsi="Times New Roman"/>
          <w:sz w:val="24"/>
        </w:rPr>
        <w:t>property management</w:t>
      </w:r>
      <w:bookmarkEnd w:id="33"/>
      <w:r>
        <w:rPr>
          <w:rFonts w:hint="eastAsia" w:ascii="Times New Roman" w:hAnsi="Times New Roman"/>
          <w:sz w:val="24"/>
        </w:rPr>
        <w:t xml:space="preserve"> </w:t>
      </w:r>
    </w:p>
    <w:p w14:paraId="0BA8E281">
      <w:pPr>
        <w:adjustRightInd w:val="0"/>
        <w:spacing w:line="360" w:lineRule="auto"/>
        <w:ind w:firstLine="480" w:firstLineChars="200"/>
        <w:textAlignment w:val="baseline"/>
        <w:rPr>
          <w:rFonts w:hint="eastAsia" w:ascii="Times New Roman" w:hAnsi="Times New Roman"/>
          <w:color w:val="000000"/>
          <w:kern w:val="0"/>
          <w:sz w:val="24"/>
        </w:rPr>
      </w:pPr>
      <w:r>
        <w:rPr>
          <w:rFonts w:hint="eastAsia" w:ascii="Times New Roman" w:hAnsi="Times New Roman"/>
          <w:color w:val="000000"/>
          <w:kern w:val="0"/>
          <w:sz w:val="24"/>
        </w:rPr>
        <w:t>物业产权人通过选聘物业服务人，由业主和物业服务人按照物业服务合同约定，对房屋及配套设施设备和相关场地进行维修、养护、管理、维护相关区域的环境卫生和秩序的活动。</w:t>
      </w:r>
    </w:p>
    <w:p w14:paraId="3E8FAB3D">
      <w:pPr>
        <w:adjustRightInd w:val="0"/>
        <w:spacing w:line="360" w:lineRule="auto"/>
        <w:textAlignment w:val="baseline"/>
        <w:outlineLvl w:val="1"/>
        <w:rPr>
          <w:rFonts w:hint="eastAsia" w:ascii="Times New Roman" w:hAnsi="Times New Roman"/>
          <w:color w:val="000000"/>
          <w:kern w:val="0"/>
          <w:sz w:val="24"/>
        </w:rPr>
      </w:pPr>
      <w:bookmarkStart w:id="34" w:name="_Toc12423"/>
      <w:r>
        <w:rPr>
          <w:rFonts w:hint="eastAsia" w:ascii="Times New Roman" w:hAnsi="Times New Roman" w:eastAsia="宋体"/>
          <w:b/>
          <w:sz w:val="24"/>
        </w:rPr>
        <w:t>2.0.2</w:t>
      </w:r>
      <w:r>
        <w:rPr>
          <w:rFonts w:ascii="Times New Roman" w:hAnsi="Times New Roman"/>
          <w:sz w:val="24"/>
        </w:rPr>
        <w:t xml:space="preserve">  </w:t>
      </w:r>
      <w:r>
        <w:rPr>
          <w:rFonts w:hint="eastAsia" w:ascii="Times New Roman" w:hAnsi="Times New Roman"/>
          <w:color w:val="000000"/>
          <w:kern w:val="0"/>
          <w:sz w:val="24"/>
        </w:rPr>
        <w:t>非住宅物业</w:t>
      </w:r>
      <w:r>
        <w:rPr>
          <w:rFonts w:ascii="Times New Roman" w:hAnsi="Times New Roman"/>
          <w:sz w:val="24"/>
        </w:rPr>
        <w:t xml:space="preserve">   </w:t>
      </w:r>
      <w:r>
        <w:rPr>
          <w:rFonts w:hint="eastAsia" w:ascii="Times New Roman" w:hAnsi="Times New Roman"/>
          <w:color w:val="000000"/>
          <w:kern w:val="0"/>
          <w:sz w:val="24"/>
        </w:rPr>
        <w:t>non-residential property</w:t>
      </w:r>
      <w:bookmarkEnd w:id="34"/>
    </w:p>
    <w:p w14:paraId="5AF00EAB">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以非居住为主要使用功能的物业。</w:t>
      </w:r>
    </w:p>
    <w:p w14:paraId="2AE919BE">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非住宅物业包括办公楼、写字楼、学校、医院、场馆、产业园区、商业综合体等物业类型。</w:t>
      </w:r>
    </w:p>
    <w:p w14:paraId="30E06318">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3</w:t>
      </w:r>
      <w:r>
        <w:rPr>
          <w:rFonts w:ascii="Times New Roman" w:hAnsi="Times New Roman"/>
          <w:sz w:val="24"/>
        </w:rPr>
        <w:t xml:space="preserve">  </w:t>
      </w:r>
      <w:r>
        <w:rPr>
          <w:rFonts w:hint="eastAsia" w:ascii="Times New Roman" w:hAnsi="Times New Roman"/>
          <w:color w:val="000000"/>
          <w:kern w:val="0"/>
          <w:sz w:val="24"/>
        </w:rPr>
        <w:t>写字楼物业服务</w:t>
      </w:r>
      <w:r>
        <w:rPr>
          <w:rFonts w:ascii="Times New Roman" w:hAnsi="Times New Roman"/>
          <w:sz w:val="24"/>
        </w:rPr>
        <w:t xml:space="preserve">   </w:t>
      </w:r>
      <w:r>
        <w:rPr>
          <w:rFonts w:hint="eastAsia" w:ascii="Times New Roman" w:hAnsi="Times New Roman"/>
          <w:color w:val="000000"/>
          <w:kern w:val="0"/>
          <w:sz w:val="24"/>
        </w:rPr>
        <w:t>property service for office building</w:t>
      </w:r>
    </w:p>
    <w:p w14:paraId="422FA3F4">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物业服务人按照物业服务合同的约定，对写字楼的场地、写字楼本体设施设备和秩序进行养护维修、管理的活动。</w:t>
      </w:r>
    </w:p>
    <w:p w14:paraId="07F60D0F">
      <w:pPr>
        <w:adjustRightInd w:val="0"/>
        <w:spacing w:line="360" w:lineRule="auto"/>
        <w:textAlignment w:val="baseline"/>
        <w:outlineLvl w:val="1"/>
        <w:rPr>
          <w:rFonts w:hint="eastAsia" w:ascii="Times New Roman" w:hAnsi="Times New Roman"/>
          <w:color w:val="000000"/>
          <w:kern w:val="0"/>
          <w:sz w:val="24"/>
        </w:rPr>
      </w:pPr>
      <w:bookmarkStart w:id="35" w:name="_Toc16057"/>
      <w:r>
        <w:rPr>
          <w:rFonts w:hint="eastAsia" w:ascii="Times New Roman" w:hAnsi="Times New Roman" w:eastAsia="宋体"/>
          <w:b/>
          <w:sz w:val="24"/>
        </w:rPr>
        <w:t>2.0.</w:t>
      </w:r>
      <w:r>
        <w:rPr>
          <w:rFonts w:hint="eastAsia" w:ascii="Times New Roman" w:hAnsi="Times New Roman" w:eastAsia="宋体"/>
          <w:b/>
          <w:sz w:val="24"/>
          <w:lang w:val="en-US" w:eastAsia="zh-CN"/>
        </w:rPr>
        <w:t>4</w:t>
      </w:r>
      <w:r>
        <w:rPr>
          <w:rFonts w:ascii="Times New Roman" w:hAnsi="Times New Roman"/>
          <w:sz w:val="24"/>
        </w:rPr>
        <w:t xml:space="preserve">  </w:t>
      </w:r>
      <w:r>
        <w:rPr>
          <w:rFonts w:hint="eastAsia" w:ascii="Times New Roman" w:hAnsi="Times New Roman"/>
          <w:color w:val="000000"/>
          <w:kern w:val="0"/>
          <w:sz w:val="24"/>
        </w:rPr>
        <w:t>写字楼</w:t>
      </w:r>
      <w:r>
        <w:rPr>
          <w:rFonts w:ascii="Times New Roman" w:hAnsi="Times New Roman"/>
          <w:sz w:val="24"/>
        </w:rPr>
        <w:t xml:space="preserve">   </w:t>
      </w:r>
      <w:r>
        <w:rPr>
          <w:rFonts w:hint="eastAsia" w:ascii="Times New Roman" w:hAnsi="Times New Roman"/>
          <w:color w:val="000000"/>
          <w:kern w:val="0"/>
          <w:sz w:val="24"/>
        </w:rPr>
        <w:t>office building</w:t>
      </w:r>
      <w:bookmarkEnd w:id="35"/>
      <w:r>
        <w:rPr>
          <w:rFonts w:hint="eastAsia" w:ascii="Times New Roman" w:hAnsi="Times New Roman"/>
          <w:color w:val="000000"/>
          <w:kern w:val="0"/>
          <w:sz w:val="24"/>
        </w:rPr>
        <w:t xml:space="preserve"> </w:t>
      </w:r>
    </w:p>
    <w:p w14:paraId="06DFEFDC">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为商务、办公活动提供空间的建筑及其附属设施、设备和相关场地。</w:t>
      </w:r>
    </w:p>
    <w:p w14:paraId="764E349D">
      <w:pPr>
        <w:adjustRightInd w:val="0"/>
        <w:spacing w:line="360" w:lineRule="auto"/>
        <w:textAlignment w:val="baseline"/>
        <w:outlineLvl w:val="1"/>
        <w:rPr>
          <w:rFonts w:hint="eastAsia" w:ascii="Times New Roman" w:hAnsi="Times New Roman"/>
          <w:color w:val="000000"/>
          <w:kern w:val="0"/>
          <w:sz w:val="24"/>
        </w:rPr>
      </w:pPr>
      <w:bookmarkStart w:id="36" w:name="_Toc16000"/>
      <w:r>
        <w:rPr>
          <w:rFonts w:hint="eastAsia" w:ascii="Times New Roman" w:hAnsi="Times New Roman" w:eastAsia="宋体"/>
          <w:b/>
          <w:sz w:val="24"/>
        </w:rPr>
        <w:t>2.0.</w:t>
      </w:r>
      <w:r>
        <w:rPr>
          <w:rFonts w:hint="eastAsia" w:ascii="Times New Roman" w:hAnsi="Times New Roman" w:eastAsia="宋体"/>
          <w:b/>
          <w:sz w:val="24"/>
          <w:lang w:val="en-US" w:eastAsia="zh-CN"/>
        </w:rPr>
        <w:t>5</w:t>
      </w:r>
      <w:r>
        <w:rPr>
          <w:rFonts w:ascii="Times New Roman" w:hAnsi="Times New Roman"/>
          <w:sz w:val="24"/>
        </w:rPr>
        <w:t xml:space="preserve">  </w:t>
      </w:r>
      <w:r>
        <w:rPr>
          <w:rFonts w:hint="eastAsia" w:ascii="Times New Roman" w:hAnsi="Times New Roman"/>
          <w:color w:val="000000"/>
          <w:kern w:val="0"/>
          <w:sz w:val="24"/>
        </w:rPr>
        <w:t>客户</w:t>
      </w:r>
      <w:r>
        <w:rPr>
          <w:rFonts w:ascii="Times New Roman" w:hAnsi="Times New Roman"/>
          <w:sz w:val="24"/>
        </w:rPr>
        <w:t xml:space="preserve">   </w:t>
      </w:r>
      <w:r>
        <w:rPr>
          <w:rFonts w:hint="eastAsia" w:ascii="Times New Roman" w:hAnsi="Times New Roman"/>
          <w:color w:val="000000"/>
          <w:kern w:val="0"/>
          <w:sz w:val="24"/>
        </w:rPr>
        <w:t>customer</w:t>
      </w:r>
      <w:bookmarkEnd w:id="36"/>
    </w:p>
    <w:p w14:paraId="04AE6C92">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接受写字楼物业服务的组织或个人，包括写字楼物业产权人、物业使用人及其他相关方。</w:t>
      </w:r>
    </w:p>
    <w:p w14:paraId="6E9DB1FE">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6</w:t>
      </w:r>
      <w:r>
        <w:rPr>
          <w:rFonts w:ascii="Times New Roman" w:hAnsi="Times New Roman"/>
          <w:sz w:val="24"/>
        </w:rPr>
        <w:t xml:space="preserve">  </w:t>
      </w:r>
      <w:r>
        <w:rPr>
          <w:rFonts w:hint="eastAsia" w:ascii="Times New Roman" w:hAnsi="Times New Roman"/>
          <w:color w:val="000000"/>
          <w:kern w:val="0"/>
          <w:sz w:val="24"/>
        </w:rPr>
        <w:t>物业承接查验</w:t>
      </w:r>
      <w:r>
        <w:rPr>
          <w:rFonts w:ascii="Times New Roman" w:hAnsi="Times New Roman"/>
          <w:sz w:val="24"/>
        </w:rPr>
        <w:t xml:space="preserve">   </w:t>
      </w:r>
      <w:r>
        <w:rPr>
          <w:rFonts w:hint="eastAsia" w:ascii="Times New Roman" w:hAnsi="Times New Roman"/>
          <w:color w:val="000000"/>
          <w:kern w:val="0"/>
          <w:sz w:val="24"/>
        </w:rPr>
        <w:t>property acceptance inspection</w:t>
      </w:r>
    </w:p>
    <w:p w14:paraId="576AC6EE">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承接物业管理项目前，物业服务人与业主或建设单位按照规定和物业服务合同或前期物业服务合同约定，共同对物业共有部分、共用设施设备、物业费预收或拖欠情况以及相关档案资料等的检查和验收活动。</w:t>
      </w:r>
    </w:p>
    <w:p w14:paraId="0B024D4C">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7</w:t>
      </w:r>
      <w:r>
        <w:rPr>
          <w:rFonts w:ascii="Times New Roman" w:hAnsi="Times New Roman"/>
          <w:sz w:val="24"/>
        </w:rPr>
        <w:t xml:space="preserve">  </w:t>
      </w:r>
      <w:r>
        <w:rPr>
          <w:rFonts w:hint="eastAsia" w:ascii="Times New Roman" w:hAnsi="Times New Roman"/>
          <w:color w:val="000000"/>
          <w:kern w:val="0"/>
          <w:sz w:val="24"/>
        </w:rPr>
        <w:t>责任性投诉</w:t>
      </w:r>
      <w:r>
        <w:rPr>
          <w:rFonts w:ascii="Times New Roman" w:hAnsi="Times New Roman"/>
          <w:sz w:val="24"/>
        </w:rPr>
        <w:t xml:space="preserve">   </w:t>
      </w:r>
      <w:r>
        <w:rPr>
          <w:rFonts w:hint="eastAsia" w:ascii="Times New Roman" w:hAnsi="Times New Roman"/>
          <w:color w:val="000000"/>
          <w:kern w:val="0"/>
          <w:sz w:val="24"/>
        </w:rPr>
        <w:t>the responsibility complaints</w:t>
      </w:r>
    </w:p>
    <w:p w14:paraId="4D1E7FA7">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因物业服务人未能履行《物业服务合同》中约定的责任而引起的客户投诉。</w:t>
      </w:r>
    </w:p>
    <w:p w14:paraId="56CA8FC0">
      <w:pPr>
        <w:adjustRightInd w:val="0"/>
        <w:spacing w:line="360" w:lineRule="auto"/>
        <w:textAlignment w:val="baseline"/>
        <w:outlineLvl w:val="1"/>
        <w:rPr>
          <w:rFonts w:hint="eastAsia" w:ascii="Times New Roman" w:hAnsi="Times New Roman"/>
          <w:color w:val="000000"/>
          <w:kern w:val="0"/>
          <w:sz w:val="24"/>
        </w:rPr>
      </w:pPr>
      <w:bookmarkStart w:id="37" w:name="_Toc14340"/>
      <w:r>
        <w:rPr>
          <w:rFonts w:hint="eastAsia" w:ascii="Times New Roman" w:hAnsi="Times New Roman" w:eastAsia="宋体"/>
          <w:b/>
          <w:sz w:val="24"/>
        </w:rPr>
        <w:t>2.0.</w:t>
      </w:r>
      <w:r>
        <w:rPr>
          <w:rFonts w:hint="eastAsia" w:ascii="Times New Roman" w:hAnsi="Times New Roman" w:eastAsia="宋体"/>
          <w:b/>
          <w:sz w:val="24"/>
          <w:lang w:val="en-US" w:eastAsia="zh-CN"/>
        </w:rPr>
        <w:t>8</w:t>
      </w:r>
      <w:r>
        <w:rPr>
          <w:rFonts w:ascii="Times New Roman" w:hAnsi="Times New Roman"/>
          <w:sz w:val="24"/>
        </w:rPr>
        <w:t xml:space="preserve">  </w:t>
      </w:r>
      <w:r>
        <w:rPr>
          <w:rFonts w:hint="eastAsia" w:ascii="Times New Roman" w:hAnsi="Times New Roman"/>
          <w:color w:val="000000"/>
          <w:kern w:val="0"/>
          <w:sz w:val="24"/>
        </w:rPr>
        <w:t>非责任性投诉</w:t>
      </w:r>
      <w:r>
        <w:rPr>
          <w:rFonts w:ascii="Times New Roman" w:hAnsi="Times New Roman"/>
          <w:sz w:val="24"/>
        </w:rPr>
        <w:t xml:space="preserve">   </w:t>
      </w:r>
      <w:r>
        <w:rPr>
          <w:rFonts w:hint="eastAsia" w:ascii="Times New Roman" w:hAnsi="Times New Roman"/>
          <w:color w:val="000000"/>
          <w:kern w:val="0"/>
          <w:sz w:val="24"/>
        </w:rPr>
        <w:t>non-liability complaint</w:t>
      </w:r>
      <w:bookmarkEnd w:id="37"/>
    </w:p>
    <w:p w14:paraId="13C5A43C">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非物业服务人在物业服务合同中约定履行的责任范围，但写字楼正常办公秩序受到影响而引起的客户投诉。</w:t>
      </w:r>
    </w:p>
    <w:p w14:paraId="2EA94C02">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9</w:t>
      </w:r>
      <w:r>
        <w:rPr>
          <w:rFonts w:ascii="Times New Roman" w:hAnsi="Times New Roman"/>
          <w:sz w:val="24"/>
        </w:rPr>
        <w:t xml:space="preserve">  </w:t>
      </w:r>
      <w:r>
        <w:rPr>
          <w:rFonts w:hint="eastAsia" w:ascii="Times New Roman" w:hAnsi="Times New Roman"/>
          <w:color w:val="000000"/>
          <w:kern w:val="0"/>
          <w:sz w:val="24"/>
        </w:rPr>
        <w:t>客户满意率</w:t>
      </w:r>
      <w:r>
        <w:rPr>
          <w:rFonts w:ascii="Times New Roman" w:hAnsi="Times New Roman"/>
          <w:sz w:val="24"/>
        </w:rPr>
        <w:t xml:space="preserve">   </w:t>
      </w:r>
      <w:r>
        <w:rPr>
          <w:rFonts w:hint="eastAsia" w:ascii="Times New Roman" w:hAnsi="Times New Roman"/>
          <w:color w:val="000000"/>
          <w:kern w:val="0"/>
          <w:sz w:val="24"/>
        </w:rPr>
        <w:t xml:space="preserve">customer satisfaction rate </w:t>
      </w:r>
    </w:p>
    <w:p w14:paraId="16BB5055">
      <w:pPr>
        <w:adjustRightInd w:val="0"/>
        <w:spacing w:line="360" w:lineRule="auto"/>
        <w:ind w:firstLine="420" w:firstLineChars="0"/>
        <w:textAlignment w:val="baseline"/>
        <w:rPr>
          <w:rFonts w:hint="eastAsia" w:ascii="Times New Roman" w:hAnsi="Times New Roman"/>
          <w:color w:val="000000"/>
          <w:kern w:val="0"/>
          <w:sz w:val="24"/>
        </w:rPr>
      </w:pPr>
      <w:r>
        <w:rPr>
          <w:rFonts w:hint="eastAsia" w:ascii="Times New Roman" w:hAnsi="Times New Roman" w:eastAsia="宋体"/>
          <w:color w:val="000000"/>
          <w:kern w:val="0"/>
          <w:sz w:val="24"/>
        </w:rPr>
        <w:t>业主或物业使用人中表示满意的人数占总数人数的比例。</w:t>
      </w:r>
    </w:p>
    <w:p w14:paraId="528DCFF2">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10</w:t>
      </w:r>
      <w:r>
        <w:rPr>
          <w:rFonts w:ascii="Times New Roman" w:hAnsi="Times New Roman"/>
          <w:sz w:val="24"/>
        </w:rPr>
        <w:t xml:space="preserve">  </w:t>
      </w:r>
      <w:r>
        <w:rPr>
          <w:rFonts w:hint="eastAsia" w:ascii="Times New Roman" w:hAnsi="Times New Roman"/>
          <w:color w:val="000000"/>
          <w:kern w:val="0"/>
          <w:sz w:val="24"/>
        </w:rPr>
        <w:t>物业服务区域</w:t>
      </w:r>
      <w:r>
        <w:rPr>
          <w:rFonts w:ascii="Times New Roman" w:hAnsi="Times New Roman"/>
          <w:sz w:val="24"/>
        </w:rPr>
        <w:t xml:space="preserve">   </w:t>
      </w:r>
      <w:r>
        <w:rPr>
          <w:rFonts w:hint="eastAsia" w:ascii="Times New Roman" w:hAnsi="Times New Roman"/>
          <w:color w:val="000000"/>
          <w:kern w:val="0"/>
          <w:sz w:val="24"/>
        </w:rPr>
        <w:t>property management area</w:t>
      </w:r>
    </w:p>
    <w:p w14:paraId="787CD57F">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依据城市规划、物业权属、物业共用设施设备、建筑规模、社区建设等因素划分的实施物业管理的地域和空间范围。</w:t>
      </w:r>
    </w:p>
    <w:p w14:paraId="5C6B05B2">
      <w:pPr>
        <w:adjustRightInd w:val="0"/>
        <w:spacing w:line="360" w:lineRule="auto"/>
        <w:textAlignment w:val="baseline"/>
        <w:outlineLvl w:val="1"/>
        <w:rPr>
          <w:rFonts w:hint="eastAsia" w:ascii="Times New Roman" w:hAnsi="Times New Roman"/>
          <w:color w:val="000000"/>
          <w:kern w:val="0"/>
          <w:sz w:val="24"/>
        </w:rPr>
      </w:pPr>
      <w:bookmarkStart w:id="38" w:name="_Toc14624"/>
      <w:r>
        <w:rPr>
          <w:rFonts w:hint="eastAsia" w:ascii="Times New Roman" w:hAnsi="Times New Roman" w:eastAsia="宋体"/>
          <w:b/>
          <w:sz w:val="24"/>
        </w:rPr>
        <w:t>2.0.</w:t>
      </w:r>
      <w:r>
        <w:rPr>
          <w:rFonts w:hint="eastAsia" w:ascii="Times New Roman" w:hAnsi="Times New Roman" w:eastAsia="宋体"/>
          <w:b/>
          <w:sz w:val="24"/>
          <w:lang w:val="en-US" w:eastAsia="zh-CN"/>
        </w:rPr>
        <w:t>11</w:t>
      </w:r>
      <w:r>
        <w:rPr>
          <w:rFonts w:ascii="Times New Roman" w:hAnsi="Times New Roman"/>
          <w:sz w:val="24"/>
        </w:rPr>
        <w:t xml:space="preserve">  </w:t>
      </w:r>
      <w:r>
        <w:rPr>
          <w:rFonts w:hint="eastAsia" w:ascii="Times New Roman" w:hAnsi="Times New Roman"/>
          <w:color w:val="000000"/>
          <w:kern w:val="0"/>
          <w:sz w:val="24"/>
        </w:rPr>
        <w:t>共有部位</w:t>
      </w:r>
      <w:r>
        <w:rPr>
          <w:rFonts w:ascii="Times New Roman" w:hAnsi="Times New Roman"/>
          <w:sz w:val="24"/>
        </w:rPr>
        <w:t xml:space="preserve">   </w:t>
      </w:r>
      <w:r>
        <w:rPr>
          <w:rFonts w:hint="eastAsia" w:ascii="Times New Roman" w:hAnsi="Times New Roman"/>
          <w:color w:val="000000"/>
          <w:kern w:val="0"/>
          <w:sz w:val="24"/>
        </w:rPr>
        <w:t>common parts</w:t>
      </w:r>
      <w:bookmarkEnd w:id="38"/>
    </w:p>
    <w:p w14:paraId="417A9921">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建筑区划内，除业主专有部分以外，属于业主共同拥有的建筑物、构筑物及配套设施设备和相关场地、空间。</w:t>
      </w:r>
    </w:p>
    <w:p w14:paraId="1627900A">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共有部分包括共用部位和共用设施设备。</w:t>
      </w:r>
    </w:p>
    <w:p w14:paraId="4B5B1D26">
      <w:pPr>
        <w:adjustRightInd w:val="0"/>
        <w:spacing w:line="360" w:lineRule="auto"/>
        <w:textAlignment w:val="baseline"/>
        <w:outlineLvl w:val="1"/>
        <w:rPr>
          <w:rFonts w:hint="eastAsia" w:ascii="Times New Roman" w:hAnsi="Times New Roman"/>
          <w:color w:val="000000"/>
          <w:kern w:val="0"/>
          <w:sz w:val="24"/>
        </w:rPr>
      </w:pPr>
      <w:bookmarkStart w:id="39" w:name="_Toc9286"/>
      <w:r>
        <w:rPr>
          <w:rFonts w:hint="eastAsia" w:ascii="Times New Roman" w:hAnsi="Times New Roman" w:eastAsia="宋体"/>
          <w:b/>
          <w:sz w:val="24"/>
        </w:rPr>
        <w:t>2.0.</w:t>
      </w:r>
      <w:r>
        <w:rPr>
          <w:rFonts w:hint="eastAsia" w:ascii="Times New Roman" w:hAnsi="Times New Roman" w:eastAsia="宋体"/>
          <w:b/>
          <w:sz w:val="24"/>
          <w:lang w:val="en-US" w:eastAsia="zh-CN"/>
        </w:rPr>
        <w:t>1</w:t>
      </w:r>
      <w:r>
        <w:rPr>
          <w:rFonts w:hint="eastAsia" w:ascii="Times New Roman" w:hAnsi="Times New Roman" w:eastAsia="宋体"/>
          <w:b/>
          <w:sz w:val="24"/>
        </w:rPr>
        <w:t>2</w:t>
      </w:r>
      <w:r>
        <w:rPr>
          <w:rFonts w:ascii="Times New Roman" w:hAnsi="Times New Roman"/>
          <w:sz w:val="24"/>
        </w:rPr>
        <w:t xml:space="preserve">  </w:t>
      </w:r>
      <w:r>
        <w:rPr>
          <w:rFonts w:hint="eastAsia" w:ascii="Times New Roman" w:hAnsi="Times New Roman"/>
          <w:color w:val="000000"/>
          <w:kern w:val="0"/>
          <w:sz w:val="24"/>
        </w:rPr>
        <w:t>专有部分</w:t>
      </w:r>
      <w:r>
        <w:rPr>
          <w:rFonts w:ascii="Times New Roman" w:hAnsi="Times New Roman"/>
          <w:sz w:val="24"/>
        </w:rPr>
        <w:t xml:space="preserve">   </w:t>
      </w:r>
      <w:r>
        <w:rPr>
          <w:rFonts w:hint="eastAsia" w:ascii="Times New Roman" w:hAnsi="Times New Roman"/>
          <w:color w:val="000000"/>
          <w:kern w:val="0"/>
          <w:sz w:val="24"/>
        </w:rPr>
        <w:t>exclusive parts</w:t>
      </w:r>
      <w:bookmarkEnd w:id="39"/>
    </w:p>
    <w:p w14:paraId="4871F047">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建筑区划内，在构造和利用上具备独立性，可以明确区分、排他使用，能够登记成为特定业主所有权的房屋、车位、摊位等实体和空间。</w:t>
      </w:r>
    </w:p>
    <w:p w14:paraId="0625D864">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专有部分表现为业主单独和共同拥有的独立性建筑物及构筑物，或业主拥有产权的建筑物室内的所有部分，涵盖建筑物本体及门窗、管道、线路等专有设施设备。</w:t>
      </w:r>
    </w:p>
    <w:p w14:paraId="61CD3D70">
      <w:pPr>
        <w:adjustRightInd w:val="0"/>
        <w:spacing w:line="360" w:lineRule="auto"/>
        <w:textAlignment w:val="baseline"/>
        <w:outlineLvl w:val="1"/>
        <w:rPr>
          <w:rFonts w:hint="eastAsia" w:ascii="Times New Roman" w:hAnsi="Times New Roman"/>
          <w:color w:val="000000"/>
          <w:kern w:val="0"/>
          <w:sz w:val="24"/>
        </w:rPr>
      </w:pPr>
      <w:bookmarkStart w:id="40" w:name="_Toc12563"/>
      <w:r>
        <w:rPr>
          <w:rFonts w:hint="eastAsia" w:ascii="Times New Roman" w:hAnsi="Times New Roman" w:eastAsia="宋体"/>
          <w:b/>
          <w:sz w:val="24"/>
        </w:rPr>
        <w:t>2.0.</w:t>
      </w:r>
      <w:r>
        <w:rPr>
          <w:rFonts w:hint="eastAsia" w:ascii="Times New Roman" w:hAnsi="Times New Roman" w:eastAsia="宋体"/>
          <w:b/>
          <w:sz w:val="24"/>
          <w:lang w:val="en-US" w:eastAsia="zh-CN"/>
        </w:rPr>
        <w:t>13</w:t>
      </w:r>
      <w:r>
        <w:rPr>
          <w:rFonts w:ascii="Times New Roman" w:hAnsi="Times New Roman"/>
          <w:sz w:val="24"/>
        </w:rPr>
        <w:t xml:space="preserve">  </w:t>
      </w:r>
      <w:r>
        <w:rPr>
          <w:rFonts w:hint="eastAsia" w:ascii="Times New Roman" w:hAnsi="Times New Roman"/>
          <w:color w:val="000000"/>
          <w:kern w:val="0"/>
          <w:sz w:val="24"/>
        </w:rPr>
        <w:t>突发公共事件</w:t>
      </w:r>
      <w:r>
        <w:rPr>
          <w:rFonts w:ascii="Times New Roman" w:hAnsi="Times New Roman"/>
          <w:sz w:val="24"/>
        </w:rPr>
        <w:t xml:space="preserve">   </w:t>
      </w:r>
      <w:r>
        <w:rPr>
          <w:rFonts w:hint="eastAsia" w:ascii="Times New Roman" w:hAnsi="Times New Roman"/>
          <w:color w:val="000000"/>
          <w:kern w:val="0"/>
          <w:sz w:val="24"/>
        </w:rPr>
        <w:t>sudden public events</w:t>
      </w:r>
      <w:bookmarkEnd w:id="40"/>
    </w:p>
    <w:p w14:paraId="4FBD5175">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在写字楼物业服务区域内突然发生且造成或者可能造成重大人员伤亡、财产损失、自然灾害（包括气象灾害、地震灾害、地质灾害等）、事故灾难（包括各类安全事故、交通运输事故、公共设施和设备事故、环境污染和生态破坏等事件）、公共卫生事件（包括传染性疫情、群体性不明原因疾病、食品安全事故、严重影响公众健康和生命安全事件）和社会安全事件（包括经济安全事件、涉外安全事件、恐袭事件和群体性事件等）等。</w:t>
      </w:r>
    </w:p>
    <w:p w14:paraId="4497B581">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14</w:t>
      </w:r>
      <w:r>
        <w:rPr>
          <w:rFonts w:ascii="Times New Roman" w:hAnsi="Times New Roman"/>
          <w:sz w:val="24"/>
        </w:rPr>
        <w:t xml:space="preserve">  </w:t>
      </w:r>
      <w:r>
        <w:rPr>
          <w:rFonts w:hint="eastAsia" w:ascii="Times New Roman" w:hAnsi="Times New Roman"/>
          <w:color w:val="000000"/>
          <w:kern w:val="0"/>
          <w:sz w:val="24"/>
        </w:rPr>
        <w:t>特约服务</w:t>
      </w:r>
      <w:r>
        <w:rPr>
          <w:rFonts w:ascii="Times New Roman" w:hAnsi="Times New Roman"/>
          <w:sz w:val="24"/>
        </w:rPr>
        <w:t xml:space="preserve">   </w:t>
      </w:r>
      <w:r>
        <w:rPr>
          <w:rFonts w:hint="eastAsia" w:ascii="Times New Roman" w:hAnsi="Times New Roman"/>
          <w:color w:val="000000"/>
          <w:kern w:val="0"/>
          <w:sz w:val="24"/>
        </w:rPr>
        <w:t>specially engaged services</w:t>
      </w:r>
    </w:p>
    <w:p w14:paraId="723A0AA9">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物业服务人为满足业主或物业使用人的个性需求，依据相关协议提供的超出物业服务合同约定以外的服务活动。</w:t>
      </w:r>
    </w:p>
    <w:p w14:paraId="5BA9BC17">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特约服务分为有偿服务和无偿服务。</w:t>
      </w:r>
    </w:p>
    <w:p w14:paraId="1DCDF44E">
      <w:pPr>
        <w:spacing w:line="600" w:lineRule="exact"/>
        <w:ind w:right="-128" w:rightChars="-61"/>
        <w:jc w:val="both"/>
        <w:outlineLvl w:val="9"/>
      </w:pPr>
    </w:p>
    <w:p w14:paraId="03FBE7F0">
      <w:pPr>
        <w:spacing w:line="600" w:lineRule="exact"/>
        <w:ind w:right="-128" w:rightChars="-61"/>
        <w:jc w:val="both"/>
        <w:outlineLvl w:val="9"/>
      </w:pPr>
    </w:p>
    <w:p w14:paraId="3CA5FD08">
      <w:pPr>
        <w:spacing w:line="600" w:lineRule="exact"/>
        <w:ind w:right="-128" w:rightChars="-61"/>
        <w:jc w:val="both"/>
        <w:outlineLvl w:val="9"/>
      </w:pPr>
    </w:p>
    <w:p w14:paraId="4F97F108">
      <w:pPr>
        <w:spacing w:line="600" w:lineRule="exact"/>
        <w:ind w:right="-128" w:rightChars="-61"/>
        <w:jc w:val="both"/>
        <w:outlineLvl w:val="9"/>
      </w:pPr>
    </w:p>
    <w:p w14:paraId="3CE48723">
      <w:pPr>
        <w:pStyle w:val="12"/>
        <w:numPr>
          <w:ilvl w:val="0"/>
          <w:numId w:val="0"/>
        </w:numPr>
        <w:rPr>
          <w:rFonts w:hint="eastAsia"/>
          <w:lang w:val="en-US" w:eastAsia="zh-CN"/>
        </w:rPr>
      </w:pPr>
      <w:bookmarkStart w:id="41" w:name="_Toc135127767"/>
      <w:bookmarkStart w:id="42" w:name="_Toc4828"/>
      <w:bookmarkStart w:id="43" w:name="_Toc135149289"/>
      <w:bookmarkStart w:id="44" w:name="_Toc16938"/>
      <w:bookmarkStart w:id="45" w:name="_Toc120020275"/>
      <w:bookmarkStart w:id="46" w:name="_Toc135129671"/>
      <w:r>
        <w:rPr>
          <w:rFonts w:hint="eastAsia"/>
          <w:lang w:val="en-US" w:eastAsia="zh-CN"/>
        </w:rPr>
        <w:t>3  基本规定</w:t>
      </w:r>
      <w:bookmarkEnd w:id="41"/>
      <w:bookmarkEnd w:id="42"/>
      <w:bookmarkEnd w:id="43"/>
      <w:bookmarkEnd w:id="44"/>
      <w:bookmarkEnd w:id="45"/>
      <w:bookmarkEnd w:id="46"/>
    </w:p>
    <w:p w14:paraId="50532892">
      <w:pPr>
        <w:spacing w:line="360" w:lineRule="auto"/>
        <w:rPr>
          <w:rFonts w:ascii="Times New Roman" w:hAnsi="Times New Roman"/>
          <w:sz w:val="24"/>
          <w:szCs w:val="24"/>
        </w:rPr>
      </w:pPr>
      <w:r>
        <w:rPr>
          <w:rFonts w:ascii="Times New Roman" w:hAnsi="Times New Roman"/>
          <w:b/>
          <w:bCs/>
          <w:color w:val="000000"/>
          <w:sz w:val="24"/>
          <w:szCs w:val="24"/>
        </w:rPr>
        <w:t xml:space="preserve">3.0.1  </w:t>
      </w:r>
      <w:r>
        <w:rPr>
          <w:rFonts w:hint="eastAsia" w:ascii="Times New Roman" w:hAnsi="Times New Roman" w:eastAsia="宋体"/>
          <w:sz w:val="24"/>
          <w:szCs w:val="24"/>
        </w:rPr>
        <w:t>物业服务人应与业主、物业使用人签订书面的物业服务合同。合同应明确物业服务事项、服务标准、服务质量、服务期限、服务费用标准及收费方式、物业管理用房的配置，双方的责任、权利、义务以及违约责任等内容进行约定，并按有关规定办理合同备案</w:t>
      </w:r>
      <w:r>
        <w:rPr>
          <w:rFonts w:ascii="Times New Roman" w:hAnsi="Times New Roman"/>
          <w:sz w:val="24"/>
          <w:szCs w:val="24"/>
        </w:rPr>
        <w:t>。</w:t>
      </w:r>
    </w:p>
    <w:p w14:paraId="3954B1F3">
      <w:pPr>
        <w:spacing w:line="360" w:lineRule="auto"/>
        <w:outlineLvl w:val="1"/>
        <w:rPr>
          <w:rFonts w:hint="eastAsia" w:ascii="Times New Roman" w:hAnsi="Times New Roman" w:eastAsia="宋体"/>
          <w:b w:val="0"/>
          <w:bCs w:val="0"/>
          <w:color w:val="000000"/>
          <w:sz w:val="24"/>
          <w:szCs w:val="24"/>
        </w:rPr>
      </w:pPr>
      <w:bookmarkStart w:id="47" w:name="_Toc15395"/>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物业服务人应符合下列规定：</w:t>
      </w:r>
      <w:bookmarkEnd w:id="47"/>
    </w:p>
    <w:p w14:paraId="34E82F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ascii="Times New Roman" w:hAnsi="Times New Roman"/>
          <w:b/>
          <w:sz w:val="24"/>
          <w:szCs w:val="24"/>
        </w:rPr>
        <w:t>1</w:t>
      </w:r>
      <w:r>
        <w:rPr>
          <w:rFonts w:ascii="Times New Roman" w:hAnsi="Times New Roman"/>
          <w:sz w:val="24"/>
          <w:szCs w:val="24"/>
        </w:rPr>
        <w:t xml:space="preserve">  </w:t>
      </w:r>
      <w:r>
        <w:rPr>
          <w:rFonts w:hint="eastAsia" w:ascii="Times New Roman" w:hAnsi="Times New Roman"/>
          <w:b w:val="0"/>
          <w:bCs/>
          <w:sz w:val="24"/>
          <w:szCs w:val="24"/>
        </w:rPr>
        <w:t>应根据服务合同约定并结合写字楼服务项目规模、范围、定位设置相应的管理机构；具备满足物业服务需要的管理人员、专业技术人员和岗位服务人员；</w:t>
      </w:r>
      <w:r>
        <w:rPr>
          <w:rFonts w:hint="eastAsia" w:ascii="Times New Roman" w:hAnsi="Times New Roman" w:eastAsia="宋体"/>
          <w:sz w:val="24"/>
          <w:szCs w:val="24"/>
        </w:rPr>
        <w:t xml:space="preserve"> </w:t>
      </w:r>
    </w:p>
    <w:p w14:paraId="0DE24A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sz w:val="24"/>
          <w:szCs w:val="24"/>
        </w:rPr>
        <w:t>物业服务人不应将物业服务项目整体转包，专业管理内容可采用专项委托管理方式，委托具有专业资质的专门机构进行管理。</w:t>
      </w:r>
    </w:p>
    <w:p w14:paraId="3317E2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sz w:val="24"/>
          <w:szCs w:val="24"/>
        </w:rPr>
        <w:t>应对写字楼的管理区域，实行项目责任制；</w:t>
      </w:r>
    </w:p>
    <w:p w14:paraId="1D5105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sz w:val="24"/>
          <w:szCs w:val="24"/>
        </w:rPr>
        <w:t>配备满足物业服务需要的办公场所和设施设备工具；</w:t>
      </w:r>
    </w:p>
    <w:p w14:paraId="0FE220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sz w:val="24"/>
          <w:szCs w:val="24"/>
        </w:rPr>
        <w:t>物业服务人应在公共场所公示物业服务企业营业执照或其复印件、项目负责人照片、物业服务内容、服务流程、收费依据、收费标准、投诉渠道等相关信息；提供特约服务的，应公示特约服务项目、服务流程及收费标准等</w:t>
      </w:r>
      <w:r>
        <w:rPr>
          <w:rFonts w:hint="eastAsia" w:ascii="Times New Roman" w:hAnsi="Times New Roman"/>
          <w:sz w:val="24"/>
          <w:szCs w:val="24"/>
          <w:lang w:eastAsia="zh-CN"/>
        </w:rPr>
        <w:t>。</w:t>
      </w:r>
    </w:p>
    <w:p w14:paraId="66EE4D1A">
      <w:pPr>
        <w:spacing w:line="360" w:lineRule="auto"/>
        <w:outlineLvl w:val="1"/>
        <w:rPr>
          <w:rFonts w:hint="eastAsia" w:ascii="Times New Roman" w:hAnsi="Times New Roman" w:eastAsia="宋体"/>
          <w:b w:val="0"/>
          <w:bCs w:val="0"/>
          <w:color w:val="000000"/>
          <w:sz w:val="24"/>
          <w:szCs w:val="24"/>
        </w:rPr>
      </w:pPr>
      <w:bookmarkStart w:id="48" w:name="_Toc24285"/>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写字楼物业服务要求：</w:t>
      </w:r>
      <w:bookmarkEnd w:id="48"/>
    </w:p>
    <w:p w14:paraId="2A19D9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ascii="Times New Roman" w:hAnsi="Times New Roman"/>
          <w:b/>
          <w:sz w:val="24"/>
          <w:szCs w:val="24"/>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写字楼的维护保养工作，应保持房屋建筑的完好和设施设备的正常运行。</w:t>
      </w:r>
    </w:p>
    <w:p w14:paraId="0DFDB0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写字楼物业服务人宜从实际出发，充分考虑制定合适、有效的节约能源方案，并付诸实施。</w:t>
      </w:r>
    </w:p>
    <w:p w14:paraId="2A3D29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写字楼物业服务人应按照约定，维护物业服务区域的公共秩序，采取合理措施，维护客户的人身、财产和建筑物的安全。</w:t>
      </w:r>
    </w:p>
    <w:p w14:paraId="10449D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写字楼物业服务人应按时完成规定的环境保洁服务，为顾客提供整洁、卫生、安全、美观的环境。</w:t>
      </w:r>
    </w:p>
    <w:p w14:paraId="7FD679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写字楼物业服务人应对写字楼物业管理范围内的绿地和室内绿化进行养护服务，保持办公楼整体的景观效果。</w:t>
      </w:r>
    </w:p>
    <w:p w14:paraId="7778CF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写字楼物业服务人应对仓储和采购进行控制，使仓储和采购的物资及服务符合本标准及相关标准在质量、环境、安全等方面的要求。</w:t>
      </w:r>
    </w:p>
    <w:p w14:paraId="05130D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写字楼物业服务人应当制定突发公共事件的应急预案，并组织实施培训、演习、评价和改进，事发时应按规定途径及时报告上级主管部门及政府有关部门，并按应急预案采取相应措施。</w:t>
      </w:r>
    </w:p>
    <w:p w14:paraId="6DC6ED9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应保证房屋共用部位完好，共用设施设备正常运行，保证物业服务区域内环境、秩序符合客户要求。</w:t>
      </w:r>
    </w:p>
    <w:p w14:paraId="0384453A">
      <w:pPr>
        <w:spacing w:line="360" w:lineRule="auto"/>
        <w:outlineLvl w:val="1"/>
        <w:rPr>
          <w:rFonts w:hint="eastAsia" w:ascii="Times New Roman" w:hAnsi="Times New Roman" w:eastAsia="宋体"/>
          <w:b w:val="0"/>
          <w:bCs w:val="0"/>
          <w:color w:val="000000"/>
          <w:sz w:val="24"/>
          <w:szCs w:val="24"/>
        </w:rPr>
      </w:pPr>
      <w:bookmarkStart w:id="49" w:name="_Toc15279"/>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物业服务人员应符合下列规定：</w:t>
      </w:r>
      <w:bookmarkEnd w:id="49"/>
      <w:r>
        <w:rPr>
          <w:rFonts w:hint="eastAsia" w:ascii="Times New Roman" w:hAnsi="Times New Roman" w:eastAsia="宋体"/>
          <w:b w:val="0"/>
          <w:bCs w:val="0"/>
          <w:color w:val="000000"/>
          <w:sz w:val="24"/>
          <w:szCs w:val="24"/>
        </w:rPr>
        <w:t xml:space="preserve"> </w:t>
      </w:r>
    </w:p>
    <w:p w14:paraId="7EBF35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热爱物业服务工作，具有良好的职业道德、遵章守法、尽职尽责；</w:t>
      </w:r>
    </w:p>
    <w:p w14:paraId="3FDFBF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项目负责人应具备项目管理知识和经验，掌握物业管理基本法律法规,熟悉服务项目的规章制度、岗位工作标准，了解相关设施设备和运行维护要求，并取得相应职业资格证书；</w:t>
      </w:r>
    </w:p>
    <w:p w14:paraId="707E37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管理人员、专业技术操作人员应按照相关专业技能的培训，熟悉写字楼物业服务特点、流程、具备相关专业知识</w:t>
      </w:r>
      <w:r>
        <w:rPr>
          <w:rFonts w:hint="eastAsia" w:ascii="Times New Roman" w:hAnsi="Times New Roman"/>
          <w:b w:val="0"/>
          <w:bCs w:val="0"/>
          <w:color w:val="000000"/>
          <w:sz w:val="24"/>
          <w:szCs w:val="24"/>
          <w:lang w:eastAsia="zh-CN"/>
        </w:rPr>
        <w:t>，</w:t>
      </w:r>
      <w:r>
        <w:rPr>
          <w:rFonts w:hint="eastAsia" w:ascii="Times New Roman" w:hAnsi="Times New Roman" w:eastAsia="宋体"/>
          <w:b w:val="0"/>
          <w:bCs w:val="0"/>
          <w:color w:val="000000"/>
          <w:sz w:val="24"/>
          <w:szCs w:val="24"/>
        </w:rPr>
        <w:t>并取得相应职业资格证书；</w:t>
      </w:r>
    </w:p>
    <w:p w14:paraId="6817A0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50" w:name="_Toc13355"/>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应积极参加岗位培训，熟练掌握岗位职责和操作规范；</w:t>
      </w:r>
      <w:bookmarkEnd w:id="50"/>
    </w:p>
    <w:p w14:paraId="760A0E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着装统一，佩戴标识，举止得体，行为规范，服务主动、热情礼貌，使用标准服务文明用语，配带必要的装备；</w:t>
      </w:r>
    </w:p>
    <w:p w14:paraId="0D816F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定期参加专业技能、法律法规、安全等专题培训，熟悉物业的基本情况，能正确使用相关专用设施设备。</w:t>
      </w:r>
    </w:p>
    <w:p w14:paraId="70BE2581">
      <w:pPr>
        <w:spacing w:line="360" w:lineRule="auto"/>
        <w:outlineLvl w:val="1"/>
        <w:rPr>
          <w:rFonts w:hint="eastAsia" w:ascii="Times New Roman" w:hAnsi="Times New Roman" w:eastAsia="宋体"/>
          <w:b w:val="0"/>
          <w:bCs w:val="0"/>
          <w:color w:val="000000"/>
          <w:sz w:val="24"/>
          <w:szCs w:val="24"/>
        </w:rPr>
      </w:pPr>
      <w:bookmarkStart w:id="51" w:name="_Toc17420"/>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物业服务管理制度应包括下列内容：</w:t>
      </w:r>
      <w:bookmarkEnd w:id="51"/>
    </w:p>
    <w:p w14:paraId="79C4AD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人应建立与项目相符的物业服务管理制度，包括但不仅限于行政管理制度、人力资源管理制度、安全生产管理制度、客户服务管理制度、供水、供电、供暖、供气等机构外联管理制度、节能环保管理制度、房屋维修养护管理制度、装饰装修管理制度、报修服务制度、设施设备运行管理制度及维修养护制度、安全防范管理制度、车辆管理制度、保洁管理制度、绿化管理制度、投诉处理制度、应急处理预案、消防安全防范管理制度、财务管理制度、物业服务费用收取办法、特约服务收费管理办法、维修资金管理规定、档案资料管理规定、客户满意度调查制度等；</w:t>
      </w:r>
    </w:p>
    <w:p w14:paraId="0D0D75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物业服务岗位责任制度应包括各部门工作职责、工作程序及标准、员工岗位责任制度、岗位职责考核制度等。</w:t>
      </w:r>
    </w:p>
    <w:p w14:paraId="03F98D50">
      <w:pPr>
        <w:spacing w:line="360" w:lineRule="auto"/>
        <w:outlineLvl w:val="1"/>
        <w:rPr>
          <w:rFonts w:hint="eastAsia" w:ascii="Times New Roman" w:hAnsi="Times New Roman" w:eastAsia="宋体"/>
          <w:b w:val="0"/>
          <w:bCs w:val="0"/>
          <w:color w:val="000000"/>
          <w:sz w:val="24"/>
          <w:szCs w:val="24"/>
        </w:rPr>
      </w:pPr>
      <w:bookmarkStart w:id="52" w:name="_Toc30170"/>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6</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消防安全防范管理应符合下列规定：</w:t>
      </w:r>
      <w:bookmarkEnd w:id="52"/>
    </w:p>
    <w:p w14:paraId="226433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消防安全防范管理应符合国家和省有关部门制定的民用建筑消防安全管理相关法律法规的规定，符合国家行业有关消防标准。</w:t>
      </w:r>
    </w:p>
    <w:p w14:paraId="13C14D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应建立适合写字楼实际的消防安全管理制度、应协助入住客户建立完善消防安全制度、督促客户落实履行消防安全工作；认真执行消防安全防范制度，落实消防安全责任制，逐级逐岗落实消防安全职责；</w:t>
      </w:r>
    </w:p>
    <w:p w14:paraId="13E1D0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结合写字楼实际，利用楼宇电视、板报和公示栏等宣传教育设施，进行消防安全防范制度和消防知识的宣传教育，应建立消防安全责任制度，定期对消防产品进行检查；</w:t>
      </w:r>
    </w:p>
    <w:p w14:paraId="11098B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应制定符合写字楼实际情况的灭火和应急疏散预案，每半年至少组织1次有员工、客户参加的消防演练；</w:t>
      </w:r>
    </w:p>
    <w:p w14:paraId="33DD71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消防岗位工作人员应每半年至少参加1次消防安全教育和培训，熟练掌握消防器材的使用方法；具备检查消除火灾隐患的能力、组织扑救初期火灾的能力、组织人员疏散逃生的能力和消防宣传教育培训的能力；</w:t>
      </w:r>
    </w:p>
    <w:p w14:paraId="761DDD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防火巡查人员、自动消防系统操作人员应取得国家或行政主管部门核发的消防设施操作员职业资格证书，持证上岗；</w:t>
      </w:r>
    </w:p>
    <w:p w14:paraId="1E04576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消防控制室应实行24小时值班制度，每班不少于两人，做好值班记录；保障疏散通道、安全出口、消防通道畅通；消防系统设施设备应齐全，对公共消防设施、灭火器材以及消防安全标志的维护保养，确保其完好有效，可随时启用；建筑消防设施应每年至少进行1次全面检测；</w:t>
      </w:r>
    </w:p>
    <w:p w14:paraId="095763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对水泵房、风机房、变（配）电室、监控中心、网络中心、锅炉房等消防安全重点部位设置明显的警示标志，并应设专人每日巡查，做好记录；对易燃易爆品设专人专区管理，并做好记录；</w:t>
      </w:r>
    </w:p>
    <w:p w14:paraId="1EF167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9</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每日进行防火巡查，每半个月至少开展1次防火检查，并做好防火安全检查记录；应加强写字楼中商业服务网点的管理，增加巡查频次，要求业主和网点使用人配合物业服务企业工作。要将消防工作纳入重要议事日程，每月召开由物业服务人、业主、客户参加的消防安全例会；</w:t>
      </w:r>
    </w:p>
    <w:p w14:paraId="632692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10</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发现消防安全违法行为和火灾隐患，应立即纠正或排除；无法立即纠正、排除的，应向辖区应急管理部门和消防救援机构报告。发生火情应立即报警，并组织扑救初起火灾，疏散遇险人员，协助配合消防救援工作；</w:t>
      </w:r>
    </w:p>
    <w:p w14:paraId="64CC15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物业服务区域内，任何业主和物业使用人禁止违规燃烧纸张、纤维、塑料制品、木制品及其他废弃物品，维护消防安全；</w:t>
      </w:r>
    </w:p>
    <w:p w14:paraId="7CA0A3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建立消防管理档案，档案主要分为消防安全基本资料和消防安全管理资料。消防安全基本资料包括单位基本概况和消防安全重点部位情况；建筑物或者场所施工、使用或者开业前的消防设计审核、消防验收以及消防安全检查的文件和资料；消防管理组织机构和各级消防安全负责人；消防安全制度；消防设施、灭火器材情况；志愿消防队人员及其消防装备配备情况；与消防安全有关的重点工种人员情况；灭火和应急疏散预案。消防安全管理情况包括公安消防机构和公安派出所填发的各种法律文书；消防设施定期检查记录、自动消防设施全面检查测试的报告以及维修保养的记录；火灾隐患及其整改情况记录；防火检查和巡查记录；消防安全培训记录；灭火和应急疏散预案的演练记录；火灾情况记录；消防奖惩情况记录。</w:t>
      </w:r>
    </w:p>
    <w:p w14:paraId="2F9B9676">
      <w:pPr>
        <w:spacing w:line="360" w:lineRule="auto"/>
        <w:outlineLvl w:val="1"/>
        <w:rPr>
          <w:rFonts w:hint="eastAsia" w:ascii="Times New Roman" w:hAnsi="Times New Roman" w:eastAsia="宋体"/>
          <w:b w:val="0"/>
          <w:bCs w:val="0"/>
          <w:color w:val="000000"/>
          <w:sz w:val="24"/>
          <w:szCs w:val="24"/>
        </w:rPr>
      </w:pPr>
      <w:bookmarkStart w:id="53" w:name="_Toc5067"/>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7</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物业承接查验应符合下列规定：</w:t>
      </w:r>
      <w:bookmarkEnd w:id="53"/>
    </w:p>
    <w:p w14:paraId="2E2EB2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54" w:name="_Toc22749"/>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物业承接查验应参照住建部《物业承接查验办法》的规定；</w:t>
      </w:r>
      <w:bookmarkEnd w:id="54"/>
    </w:p>
    <w:p w14:paraId="11A47A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物业服务人应依据相关规定和《物业服务合同》约定，对物业共用部位、共用设施设备进行现场检查和验收；</w:t>
      </w:r>
    </w:p>
    <w:p w14:paraId="52CD67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应签订《物业承接查验协议》，对遗留问题的处理进行约定，移交的物业资料应记录清楚；</w:t>
      </w:r>
    </w:p>
    <w:p w14:paraId="7ECDF8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55" w:name="_Toc16939"/>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对房屋及共用部位、共用设施设备、查验应做好交接记录。</w:t>
      </w:r>
      <w:bookmarkEnd w:id="55"/>
    </w:p>
    <w:p w14:paraId="68FA2E43">
      <w:pPr>
        <w:spacing w:line="360" w:lineRule="auto"/>
        <w:outlineLvl w:val="1"/>
        <w:rPr>
          <w:rFonts w:hint="eastAsia" w:ascii="Times New Roman" w:hAnsi="Times New Roman" w:eastAsia="宋体"/>
          <w:b w:val="0"/>
          <w:bCs w:val="0"/>
          <w:color w:val="000000"/>
          <w:sz w:val="24"/>
          <w:szCs w:val="24"/>
        </w:rPr>
      </w:pPr>
      <w:bookmarkStart w:id="56" w:name="_Toc23840"/>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8</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房屋共用部位、共有设施设备维护与管理</w:t>
      </w:r>
      <w:bookmarkEnd w:id="56"/>
    </w:p>
    <w:p w14:paraId="6F0983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人应与产权人、开发建设单位按照国家有关规定和物业服务合同的约定，共同对物业共用部位、共用设施设备进行承接查验。物业承接查验应当遵循诚实信用、客观公正、权责分明以及保护业主共有财产的原则。</w:t>
      </w:r>
    </w:p>
    <w:p w14:paraId="049708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应根据承接查验的设施设备移交清单及现场实际情况建立设施设备台帐，实施设施设备档案管理。</w:t>
      </w:r>
    </w:p>
    <w:p w14:paraId="6B8437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应制定房屋和各类设施设备的管理、巡查、检测、维护保养制度和计划，明确维护保养内容、管理方法与要求、巡检周期。</w:t>
      </w:r>
    </w:p>
    <w:p w14:paraId="37F13C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每年应定期对房屋共用设施设备进行完好率评定，按照设施设备台帐编制设施设备年度保养及大/中/小修计划，并分解到每月完成实施。</w:t>
      </w:r>
    </w:p>
    <w:p w14:paraId="77D361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房屋和设施设备的巡检、检查检测、维护保养等应有记录，并确保记录文件内容完整、清晰，并存档。</w:t>
      </w:r>
    </w:p>
    <w:p w14:paraId="4A2940CC">
      <w:pPr>
        <w:spacing w:line="360" w:lineRule="auto"/>
        <w:outlineLvl w:val="1"/>
        <w:rPr>
          <w:rFonts w:hint="eastAsia" w:ascii="Times New Roman" w:hAnsi="Times New Roman" w:eastAsia="宋体"/>
          <w:b w:val="0"/>
          <w:bCs w:val="0"/>
          <w:color w:val="000000"/>
          <w:sz w:val="24"/>
          <w:szCs w:val="24"/>
        </w:rPr>
      </w:pPr>
      <w:bookmarkStart w:id="57" w:name="_Toc18003"/>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9</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档案管理应符合下列规定：</w:t>
      </w:r>
      <w:bookmarkEnd w:id="57"/>
    </w:p>
    <w:p w14:paraId="50078C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物业管理档案应健全，有专人负责管理，查阅方便；档案管理应严格遵守有关保密规定，档案使用登记手续完备，不得外泄客户资料，未经客户许可不得将档案资料转做其他用途；</w:t>
      </w:r>
    </w:p>
    <w:p w14:paraId="607827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档案内容应包括物业竣工验收及承接查验资料；房屋及其配套设施权属资料、设施设备管理及维修养护资料、装饰装修管理资料、应急事件处理资料、消防安全管理资料、秩序维护资料、保洁资料、绿化资料、客户资料、投诉处理资料、物业服务日常管理记录和其他资料等；</w:t>
      </w:r>
    </w:p>
    <w:p w14:paraId="21AFE4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宜引入智慧物业管理手段，设立电子档案，电子档案包括并不限于：现有客户清单及上述原始档案内文件资料的存档情况、业主和物业使用人的联系方式、历任业主和物业使用人的变更记录（如去向、联系方式等）、物业重大事件记录。电子档案不应保存在日常工作电子设备中。</w:t>
      </w:r>
    </w:p>
    <w:p w14:paraId="2AFF86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58" w:name="_Toc24697"/>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业主、客户资料应一户一档，清晰便查。</w:t>
      </w:r>
      <w:bookmarkEnd w:id="58"/>
    </w:p>
    <w:p w14:paraId="6EEA7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lang w:eastAsia="zh-CN"/>
        </w:rPr>
      </w:pPr>
      <w:r>
        <w:rPr>
          <w:rFonts w:hint="eastAsia" w:ascii="Times New Roman" w:hAnsi="Times New Roman" w:eastAsia="宋体"/>
          <w:b w:val="0"/>
          <w:bCs w:val="0"/>
          <w:color w:val="000000"/>
          <w:sz w:val="24"/>
          <w:szCs w:val="24"/>
        </w:rPr>
        <w:t>业主档案包括但不限于业主收楼资料、产权证、业主身份证、产权变更资料等的复印件；装修档案（内容包括：装修申请、登记、查验资料）；往来文件</w:t>
      </w:r>
      <w:r>
        <w:rPr>
          <w:rFonts w:hint="eastAsia" w:ascii="Times New Roman" w:hAnsi="Times New Roman" w:eastAsia="宋体"/>
          <w:b w:val="0"/>
          <w:bCs w:val="0"/>
          <w:color w:val="000000"/>
          <w:sz w:val="24"/>
          <w:szCs w:val="24"/>
          <w:lang w:eastAsia="zh-CN"/>
        </w:rPr>
        <w:t>；</w:t>
      </w:r>
    </w:p>
    <w:p w14:paraId="44AA6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r>
        <w:rPr>
          <w:rFonts w:hint="eastAsia" w:ascii="Times New Roman" w:hAnsi="Times New Roman" w:eastAsia="宋体"/>
          <w:b w:val="0"/>
          <w:bCs w:val="0"/>
          <w:color w:val="000000"/>
          <w:sz w:val="24"/>
          <w:szCs w:val="24"/>
        </w:rPr>
        <w:t xml:space="preserve">客户档案包括但不限于客户营业执照和法人代表身份证、身份信息、公司职员资料等承租资料复印件；装修档案（内容包括：装修申请、登记、查验资料）。   </w:t>
      </w:r>
    </w:p>
    <w:p w14:paraId="771E2BA6">
      <w:pPr>
        <w:spacing w:line="360" w:lineRule="auto"/>
        <w:outlineLvl w:val="1"/>
        <w:rPr>
          <w:rFonts w:hint="eastAsia" w:ascii="Times New Roman" w:hAnsi="Times New Roman" w:eastAsia="宋体"/>
          <w:b w:val="0"/>
          <w:bCs w:val="0"/>
          <w:color w:val="000000"/>
          <w:sz w:val="24"/>
          <w:szCs w:val="24"/>
        </w:rPr>
      </w:pPr>
      <w:bookmarkStart w:id="59" w:name="_Toc17656"/>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10</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财务管理应符合下列规定：</w:t>
      </w:r>
      <w:bookmarkEnd w:id="59"/>
    </w:p>
    <w:p w14:paraId="4460D1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严格执行财务管理制度，严格按制度公开物业管理费和其它费用的交纳标准、时间、收取方式（合同另有约定的除外），收费应操作规范，账目清晰；</w:t>
      </w:r>
    </w:p>
    <w:p w14:paraId="2B2926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对客户报修、特约服务等需单独结算的费用应按实际支出费用或约定方式收取；</w:t>
      </w:r>
    </w:p>
    <w:p w14:paraId="662BE4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实行酬金制的，物业服务人应每年公布物业服务资金年度预决算和收支情况，可聘请专业机构对资金情况进行审计。</w:t>
      </w:r>
    </w:p>
    <w:p w14:paraId="6677671F">
      <w:pPr>
        <w:spacing w:line="360" w:lineRule="auto"/>
        <w:outlineLvl w:val="1"/>
        <w:rPr>
          <w:rFonts w:hint="eastAsia" w:ascii="Times New Roman" w:hAnsi="Times New Roman" w:eastAsia="宋体"/>
          <w:b w:val="0"/>
          <w:bCs w:val="0"/>
          <w:color w:val="000000"/>
          <w:sz w:val="24"/>
          <w:szCs w:val="24"/>
        </w:rPr>
      </w:pPr>
      <w:bookmarkStart w:id="60" w:name="_Toc8726"/>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11</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标识管理应符合以下规定：</w:t>
      </w:r>
      <w:bookmarkEnd w:id="60"/>
    </w:p>
    <w:p w14:paraId="21D953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61" w:name="_Toc16543"/>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写字楼应建立标识管理制度；</w:t>
      </w:r>
      <w:bookmarkEnd w:id="61"/>
    </w:p>
    <w:p w14:paraId="1585B2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标识管理包括平面示意图、禁止标识、警告标识、提示标识、消防安全标识、道路引导标识、公共信息标识、设施设备标识等；</w:t>
      </w:r>
    </w:p>
    <w:p w14:paraId="3E6AC6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标识应清晰、准确、分布合理；</w:t>
      </w:r>
    </w:p>
    <w:p w14:paraId="02A7CD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lang w:eastAsia="zh-CN"/>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标识制作应符合国家及相关行业标准</w:t>
      </w:r>
      <w:r>
        <w:rPr>
          <w:rFonts w:hint="eastAsia" w:ascii="Times New Roman" w:hAnsi="Times New Roman" w:eastAsia="宋体"/>
          <w:b w:val="0"/>
          <w:bCs w:val="0"/>
          <w:color w:val="000000"/>
          <w:sz w:val="24"/>
          <w:szCs w:val="24"/>
          <w:lang w:eastAsia="zh-CN"/>
        </w:rPr>
        <w:t>。</w:t>
      </w:r>
    </w:p>
    <w:p w14:paraId="100D3B50">
      <w:pPr>
        <w:spacing w:line="360" w:lineRule="auto"/>
        <w:outlineLvl w:val="1"/>
        <w:rPr>
          <w:rFonts w:hint="eastAsia" w:ascii="Times New Roman" w:hAnsi="Times New Roman" w:eastAsia="宋体"/>
          <w:b w:val="0"/>
          <w:bCs w:val="0"/>
          <w:color w:val="000000"/>
          <w:sz w:val="24"/>
          <w:szCs w:val="24"/>
        </w:rPr>
      </w:pPr>
      <w:bookmarkStart w:id="62" w:name="_Toc585"/>
      <w:r>
        <w:rPr>
          <w:rFonts w:hint="eastAsia" w:ascii="Times New Roman" w:hAnsi="Times New Roman"/>
          <w:b/>
          <w:bCs/>
          <w:color w:val="000000"/>
          <w:sz w:val="24"/>
          <w:szCs w:val="24"/>
        </w:rPr>
        <w:t>3.0.12</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客户满意度调查应符合下列规定：</w:t>
      </w:r>
      <w:bookmarkEnd w:id="62"/>
    </w:p>
    <w:p w14:paraId="61C1E6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可自行开展或委托第三方进行客户满意度调查，制定调查方案、确定调查范围、明确数据收集方法；</w:t>
      </w:r>
    </w:p>
    <w:p w14:paraId="0BB722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物业服务人应每半年开展一次客户意见调查，客户对物业服务的满意度应不低于合同约定标准；</w:t>
      </w:r>
    </w:p>
    <w:p w14:paraId="74274F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每次调查的客户，其专有部分应不低于建筑物总面积2/3且不少于总客户数2/3；</w:t>
      </w:r>
    </w:p>
    <w:p w14:paraId="75BD481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应对满意度调查结果进行分析、形成调查报告，对调查中反馈问题结合服务质量评估进行整改，对客户提出的合理建议应及时整改。</w:t>
      </w:r>
    </w:p>
    <w:p w14:paraId="64850E9A">
      <w:pPr>
        <w:spacing w:line="360" w:lineRule="auto"/>
        <w:outlineLvl w:val="1"/>
        <w:rPr>
          <w:rFonts w:hint="eastAsia" w:ascii="Times New Roman" w:hAnsi="Times New Roman" w:eastAsia="宋体"/>
          <w:b w:val="0"/>
          <w:bCs w:val="0"/>
          <w:color w:val="000000"/>
          <w:sz w:val="24"/>
          <w:szCs w:val="24"/>
        </w:rPr>
      </w:pPr>
      <w:bookmarkStart w:id="63" w:name="_Toc26790"/>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节能管理应符合下列规定：</w:t>
      </w:r>
      <w:bookmarkEnd w:id="63"/>
    </w:p>
    <w:p w14:paraId="6A0D0D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制定相应的节能降耗方案，主要内容包括节水、节电、节材；写字楼内应张贴节能提示；</w:t>
      </w:r>
    </w:p>
    <w:p w14:paraId="141135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执行国家关于公共建筑空调温度控制的相关规定，应根据作息时间确定合理的照明和空调开关时间；</w:t>
      </w:r>
    </w:p>
    <w:p w14:paraId="5FC974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每日应对共用设备设施进行巡检，防止管道、阀门出现跑、冒、滴、漏等；</w:t>
      </w:r>
    </w:p>
    <w:p w14:paraId="5997F6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楼外绿化用水宜采用中水，而且应采用渗灌等节能方式；</w:t>
      </w:r>
    </w:p>
    <w:p w14:paraId="79123C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节约办公器材，办公用纸应节能回收。</w:t>
      </w:r>
    </w:p>
    <w:p w14:paraId="572005A4">
      <w:pPr>
        <w:spacing w:line="360" w:lineRule="auto"/>
        <w:outlineLvl w:val="1"/>
        <w:rPr>
          <w:rFonts w:hint="eastAsia" w:ascii="Times New Roman" w:hAnsi="Times New Roman" w:eastAsia="宋体"/>
          <w:b w:val="0"/>
          <w:bCs w:val="0"/>
          <w:color w:val="000000"/>
          <w:sz w:val="24"/>
          <w:szCs w:val="24"/>
        </w:rPr>
      </w:pPr>
      <w:bookmarkStart w:id="64" w:name="_Toc27119"/>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保密管理应符合下列规定：</w:t>
      </w:r>
      <w:bookmarkEnd w:id="64"/>
    </w:p>
    <w:p w14:paraId="1AF650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信息安全和保密管理工作，应按照国家保密法和国家保密标准执行；</w:t>
      </w:r>
    </w:p>
    <w:p w14:paraId="48CDD2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应对员工进行保密教育和培训，树立员工的保密意识；</w:t>
      </w:r>
    </w:p>
    <w:p w14:paraId="409D94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应对重要资料运用信息化手段进行加密。</w:t>
      </w:r>
    </w:p>
    <w:p w14:paraId="3797E772">
      <w:pPr>
        <w:spacing w:line="360" w:lineRule="auto"/>
        <w:rPr>
          <w:rFonts w:hint="eastAsia" w:ascii="Times New Roman" w:hAnsi="Times New Roman" w:eastAsia="宋体"/>
          <w:b w:val="0"/>
          <w:bCs w:val="0"/>
          <w:color w:val="000000"/>
          <w:sz w:val="24"/>
          <w:szCs w:val="24"/>
        </w:rPr>
      </w:pPr>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写字楼物业服务中，对外委托的专项委托服务应参照本标准的规定执行。</w:t>
      </w:r>
    </w:p>
    <w:p w14:paraId="35575AD7">
      <w:pPr>
        <w:spacing w:line="360" w:lineRule="auto"/>
        <w:rPr>
          <w:rFonts w:hint="eastAsia" w:ascii="Times New Roman" w:hAnsi="Times New Roman" w:eastAsia="宋体"/>
          <w:b w:val="0"/>
          <w:bCs w:val="0"/>
          <w:color w:val="000000"/>
          <w:sz w:val="24"/>
          <w:szCs w:val="24"/>
        </w:rPr>
      </w:pPr>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6</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物业服务人应定期对物业服务合同的落实进行考核，结合考核结果和客户满意度调查信息，提出改进意见和措施，并在客户监督下整改，公示整改结果。</w:t>
      </w:r>
    </w:p>
    <w:p w14:paraId="66AE97BD">
      <w:pPr>
        <w:spacing w:line="360" w:lineRule="auto"/>
        <w:rPr>
          <w:rFonts w:hint="eastAsia" w:ascii="Times New Roman" w:hAnsi="Times New Roman" w:eastAsia="宋体"/>
          <w:b w:val="0"/>
          <w:bCs w:val="0"/>
          <w:color w:val="000000"/>
          <w:sz w:val="24"/>
          <w:szCs w:val="24"/>
        </w:rPr>
      </w:pPr>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7</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服务人应主动接受客户的监督，公布监督、投诉电话。积极配合有关部门做好投诉处理工作，及时反馈投诉处理结果，并对投诉处理结果进行回访，投诉处理率、回访率、投诉处理及时率、可联络投诉回复率应达到100%、客户责任性投诉满意度应达到90%以上；并做好投诉处理相关记录。</w:t>
      </w:r>
    </w:p>
    <w:p w14:paraId="77F33C38">
      <w:pPr>
        <w:spacing w:line="360" w:lineRule="auto"/>
        <w:outlineLvl w:val="1"/>
        <w:rPr>
          <w:rFonts w:hint="eastAsia" w:ascii="Times New Roman" w:hAnsi="Times New Roman" w:eastAsia="宋体"/>
          <w:b w:val="0"/>
          <w:bCs w:val="0"/>
          <w:color w:val="000000"/>
          <w:sz w:val="24"/>
          <w:szCs w:val="24"/>
        </w:rPr>
      </w:pPr>
      <w:bookmarkStart w:id="65" w:name="_Toc26022"/>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8</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延伸服务管理</w:t>
      </w:r>
      <w:bookmarkEnd w:id="65"/>
    </w:p>
    <w:p w14:paraId="28702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r>
        <w:rPr>
          <w:rFonts w:hint="eastAsia" w:ascii="Times New Roman" w:hAnsi="Times New Roman" w:eastAsia="宋体"/>
          <w:b w:val="0"/>
          <w:bCs w:val="0"/>
          <w:color w:val="000000"/>
          <w:sz w:val="24"/>
          <w:szCs w:val="24"/>
        </w:rPr>
        <w:t>物业服务人应根据客户的需求，开展延伸服务如租赁服务、室内绿化服务、票务商务服务、会务服务等。</w:t>
      </w:r>
    </w:p>
    <w:p w14:paraId="2CC82D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2CA70D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5A97D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261A5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37C12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447E6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53F2FA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46FC3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7A40A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7B9F88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1CC980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3299C0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26133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025D4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5F806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6420F6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1F21C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4FE089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378957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17C512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4B83D5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1D1D1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6F3E1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1488E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0F04B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40193D3E">
      <w:pPr>
        <w:pStyle w:val="12"/>
        <w:numPr>
          <w:ilvl w:val="0"/>
          <w:numId w:val="0"/>
        </w:numPr>
        <w:rPr>
          <w:rFonts w:hint="eastAsia"/>
          <w:lang w:val="en-US" w:eastAsia="zh-CN"/>
        </w:rPr>
      </w:pPr>
      <w:bookmarkStart w:id="66" w:name="_Toc135149290"/>
      <w:bookmarkStart w:id="67" w:name="_Toc135127768"/>
      <w:bookmarkStart w:id="68" w:name="_Toc135129672"/>
      <w:bookmarkStart w:id="69" w:name="_Toc23996"/>
      <w:bookmarkStart w:id="70" w:name="_Toc28719"/>
      <w:bookmarkStart w:id="71" w:name="_Toc135055754"/>
      <w:r>
        <w:rPr>
          <w:rFonts w:hint="eastAsia"/>
          <w:lang w:val="en-US" w:eastAsia="zh-CN"/>
        </w:rPr>
        <w:t>4</w:t>
      </w:r>
      <w:bookmarkEnd w:id="66"/>
      <w:bookmarkEnd w:id="67"/>
      <w:bookmarkEnd w:id="68"/>
      <w:r>
        <w:rPr>
          <w:rFonts w:hint="eastAsia"/>
          <w:lang w:val="en-US" w:eastAsia="zh-CN"/>
        </w:rPr>
        <w:t xml:space="preserve">  客户服务</w:t>
      </w:r>
      <w:bookmarkEnd w:id="69"/>
      <w:bookmarkEnd w:id="70"/>
    </w:p>
    <w:p w14:paraId="7E8E25F8">
      <w:pPr>
        <w:pStyle w:val="14"/>
      </w:pPr>
      <w:bookmarkStart w:id="72" w:name="_Toc135149291"/>
      <w:bookmarkStart w:id="73" w:name="_Toc135129673"/>
      <w:bookmarkStart w:id="74" w:name="_Toc135127769"/>
      <w:bookmarkStart w:id="75" w:name="_Toc28433"/>
      <w:bookmarkStart w:id="76" w:name="_Toc13819"/>
      <w:r>
        <w:t xml:space="preserve">4.1  </w:t>
      </w:r>
      <w:bookmarkEnd w:id="71"/>
      <w:bookmarkEnd w:id="72"/>
      <w:bookmarkEnd w:id="73"/>
      <w:bookmarkEnd w:id="74"/>
      <w:r>
        <w:rPr>
          <w:rFonts w:hint="eastAsia"/>
        </w:rPr>
        <w:t>接待服务</w:t>
      </w:r>
      <w:bookmarkEnd w:id="75"/>
      <w:bookmarkEnd w:id="76"/>
    </w:p>
    <w:p w14:paraId="7B5BC965">
      <w:pPr>
        <w:spacing w:line="360" w:lineRule="auto"/>
        <w:rPr>
          <w:rFonts w:ascii="Times New Roman" w:hAnsi="Times New Roman"/>
          <w:sz w:val="24"/>
        </w:rPr>
      </w:pPr>
      <w:r>
        <w:rPr>
          <w:rFonts w:ascii="Times New Roman" w:hAnsi="Times New Roman"/>
          <w:b/>
          <w:sz w:val="24"/>
        </w:rPr>
        <w:t>4.1.1</w:t>
      </w:r>
      <w:r>
        <w:rPr>
          <w:rFonts w:ascii="Times New Roman" w:hAnsi="Times New Roman"/>
          <w:sz w:val="24"/>
        </w:rPr>
        <w:t xml:space="preserve">  </w:t>
      </w:r>
      <w:r>
        <w:rPr>
          <w:rFonts w:hint="eastAsia" w:ascii="Times New Roman" w:hAnsi="Times New Roman"/>
          <w:sz w:val="24"/>
        </w:rPr>
        <w:t>应根据物业服务合同的约定，提供安全、舒适、文明、高效的客户服务</w:t>
      </w:r>
      <w:r>
        <w:rPr>
          <w:rFonts w:ascii="Times New Roman" w:hAnsi="Times New Roman"/>
          <w:sz w:val="24"/>
        </w:rPr>
        <w:t>。</w:t>
      </w:r>
    </w:p>
    <w:p w14:paraId="565F68E9">
      <w:pPr>
        <w:spacing w:line="360" w:lineRule="auto"/>
        <w:rPr>
          <w:rFonts w:ascii="Times New Roman" w:hAnsi="Times New Roman"/>
          <w:sz w:val="24"/>
        </w:rPr>
      </w:pPr>
      <w:r>
        <w:rPr>
          <w:rFonts w:ascii="Times New Roman" w:hAnsi="Times New Roman"/>
          <w:b/>
          <w:sz w:val="24"/>
        </w:rPr>
        <w:t>4.1.2</w:t>
      </w:r>
      <w:r>
        <w:rPr>
          <w:rFonts w:ascii="Times New Roman" w:hAnsi="Times New Roman"/>
          <w:sz w:val="24"/>
        </w:rPr>
        <w:t xml:space="preserve">  </w:t>
      </w:r>
      <w:r>
        <w:rPr>
          <w:rFonts w:hint="eastAsia" w:ascii="Times New Roman" w:hAnsi="Times New Roman"/>
          <w:sz w:val="24"/>
        </w:rPr>
        <w:t>应根据客户的需求建立物业服务中心。提供咨询、服务受理、求助、投诉、接待、引导等服务；对客户的咨询、求助等事项，应及时答复，答复率100%。建立24小时值班制度，在物业服务区域明显位置公布24小时服务电话。</w:t>
      </w:r>
    </w:p>
    <w:p w14:paraId="57B7D6F2">
      <w:pPr>
        <w:spacing w:line="360" w:lineRule="auto"/>
        <w:rPr>
          <w:rFonts w:ascii="Times New Roman" w:hAnsi="Times New Roman"/>
          <w:sz w:val="24"/>
        </w:rPr>
      </w:pPr>
      <w:r>
        <w:rPr>
          <w:rFonts w:ascii="Times New Roman" w:hAnsi="Times New Roman"/>
          <w:b/>
          <w:sz w:val="24"/>
        </w:rPr>
        <w:t>4.1.3</w:t>
      </w:r>
      <w:r>
        <w:rPr>
          <w:rFonts w:ascii="Times New Roman" w:hAnsi="Times New Roman"/>
          <w:sz w:val="24"/>
        </w:rPr>
        <w:t xml:space="preserve">  </w:t>
      </w:r>
      <w:r>
        <w:rPr>
          <w:rFonts w:hint="eastAsia" w:ascii="Times New Roman" w:hAnsi="Times New Roman"/>
          <w:sz w:val="24"/>
        </w:rPr>
        <w:t>应提供多种接待途径，包括对客户现场接待、接听电话及传真、收发信函及电子邮件等</w:t>
      </w:r>
      <w:r>
        <w:rPr>
          <w:rFonts w:ascii="Times New Roman" w:hAnsi="Times New Roman"/>
          <w:sz w:val="24"/>
        </w:rPr>
        <w:t>。</w:t>
      </w:r>
    </w:p>
    <w:p w14:paraId="68CC9926">
      <w:pPr>
        <w:spacing w:line="360" w:lineRule="auto"/>
        <w:rPr>
          <w:rFonts w:hint="eastAsia" w:ascii="Times New Roman" w:hAnsi="Times New Roman"/>
          <w:sz w:val="24"/>
        </w:rPr>
      </w:pPr>
      <w:r>
        <w:rPr>
          <w:rFonts w:ascii="Times New Roman" w:hAnsi="Times New Roman"/>
          <w:b/>
          <w:sz w:val="24"/>
        </w:rPr>
        <w:t>4.1.</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接待服务中应用语文明、礼貌、主动、周到、热情，符合文明礼仪、文化习俗等要求。</w:t>
      </w:r>
    </w:p>
    <w:p w14:paraId="67B7E7DE">
      <w:pPr>
        <w:spacing w:line="360" w:lineRule="auto"/>
        <w:rPr>
          <w:rFonts w:hint="eastAsia" w:ascii="Times New Roman" w:hAnsi="Times New Roman"/>
          <w:sz w:val="24"/>
        </w:rPr>
      </w:pPr>
      <w:r>
        <w:rPr>
          <w:rFonts w:ascii="Times New Roman" w:hAnsi="Times New Roman"/>
          <w:b/>
          <w:sz w:val="24"/>
        </w:rPr>
        <w:t>4.1.</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应提供大堂服务，大堂服务人员应注意大堂的整洁、有序和安全，向客户、访客提供周边交通、景点和写字楼内各服务功能的咨询。</w:t>
      </w:r>
    </w:p>
    <w:p w14:paraId="392AB53E">
      <w:pPr>
        <w:spacing w:line="360" w:lineRule="auto"/>
        <w:rPr>
          <w:rFonts w:hint="eastAsia" w:ascii="Times New Roman" w:hAnsi="Times New Roman"/>
          <w:sz w:val="24"/>
        </w:rPr>
      </w:pPr>
      <w:r>
        <w:rPr>
          <w:rFonts w:ascii="Times New Roman" w:hAnsi="Times New Roman"/>
          <w:b/>
          <w:sz w:val="24"/>
        </w:rPr>
        <w:t>4.1.</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受理服务事项应进行记录并存档。</w:t>
      </w:r>
    </w:p>
    <w:p w14:paraId="3BE1DF1B">
      <w:pPr>
        <w:pStyle w:val="14"/>
      </w:pPr>
      <w:bookmarkStart w:id="77" w:name="_Toc9519"/>
      <w:bookmarkStart w:id="78" w:name="_Toc12101"/>
      <w:r>
        <w:t>4.</w:t>
      </w:r>
      <w:r>
        <w:rPr>
          <w:rFonts w:hint="eastAsia"/>
          <w:lang w:val="en-US" w:eastAsia="zh-CN"/>
        </w:rPr>
        <w:t>2</w:t>
      </w:r>
      <w:r>
        <w:t xml:space="preserve">  </w:t>
      </w:r>
      <w:r>
        <w:rPr>
          <w:rFonts w:hint="eastAsia"/>
        </w:rPr>
        <w:t>入驻、撤场服务</w:t>
      </w:r>
      <w:bookmarkEnd w:id="77"/>
      <w:bookmarkEnd w:id="78"/>
    </w:p>
    <w:p w14:paraId="286D08AC">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2</w:t>
      </w:r>
      <w:r>
        <w:rPr>
          <w:rFonts w:ascii="Times New Roman" w:hAnsi="Times New Roman"/>
          <w:b/>
          <w:sz w:val="24"/>
        </w:rPr>
        <w:t>.1</w:t>
      </w:r>
      <w:r>
        <w:rPr>
          <w:rFonts w:ascii="Times New Roman" w:hAnsi="Times New Roman"/>
          <w:sz w:val="24"/>
        </w:rPr>
        <w:t xml:space="preserve">  </w:t>
      </w:r>
      <w:r>
        <w:rPr>
          <w:rFonts w:hint="eastAsia" w:ascii="Times New Roman" w:hAnsi="Times New Roman"/>
          <w:sz w:val="24"/>
        </w:rPr>
        <w:t xml:space="preserve">客户入驻和撤场时，应按规定程序及时受理，在承诺的时间内办理完成相关手续，及时建档、归档。 </w:t>
      </w:r>
    </w:p>
    <w:p w14:paraId="7C0931F3">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应告知客户停车地点、进出搬迁路线、搬运时间、电梯使用规定等细节。</w:t>
      </w:r>
    </w:p>
    <w:p w14:paraId="396AA724">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客户搬迁时应安排专人进行现场管理和协调。</w:t>
      </w:r>
    </w:p>
    <w:p w14:paraId="142E559E">
      <w:pPr>
        <w:pStyle w:val="14"/>
        <w:rPr>
          <w:rFonts w:hint="eastAsia"/>
        </w:rPr>
      </w:pPr>
      <w:bookmarkStart w:id="79" w:name="_Toc28942"/>
      <w:bookmarkStart w:id="80" w:name="_Toc879"/>
      <w:r>
        <w:rPr>
          <w:rFonts w:hint="eastAsia"/>
        </w:rPr>
        <w:t>4.3</w:t>
      </w:r>
      <w:r>
        <w:t xml:space="preserve">  </w:t>
      </w:r>
      <w:r>
        <w:rPr>
          <w:rFonts w:hint="eastAsia"/>
        </w:rPr>
        <w:t>装饰装修服务</w:t>
      </w:r>
      <w:bookmarkEnd w:id="79"/>
      <w:bookmarkEnd w:id="80"/>
    </w:p>
    <w:p w14:paraId="20F9DE31">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装饰装修应符合以下要求：</w:t>
      </w:r>
    </w:p>
    <w:p w14:paraId="483CE6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物业服务人应与客户签订装饰装修管理服务协议和安全管理协议；</w:t>
      </w:r>
    </w:p>
    <w:p w14:paraId="517C34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按规定审核装饰装修方案，办理施工手续和装饰装修人员登记；</w:t>
      </w:r>
    </w:p>
    <w:p w14:paraId="3D69D2F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书面告知装修人及施工单位装饰装修的禁止行为和注意事项，并在装饰装修现场公示；</w:t>
      </w:r>
    </w:p>
    <w:p w14:paraId="49A9F0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81" w:name="_Toc27144"/>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装饰装修现场应有消防及安全管理防范措施；</w:t>
      </w:r>
      <w:bookmarkEnd w:id="81"/>
    </w:p>
    <w:p w14:paraId="431FB0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有效控制装饰装修人员出入和施工时间，施工时间应符合相关约定；</w:t>
      </w:r>
    </w:p>
    <w:p w14:paraId="1071BE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82" w:name="_Toc7274"/>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sz w:val="24"/>
        </w:rPr>
        <w:t>监督装饰装修垃圾定点堆放、定时清运；</w:t>
      </w:r>
      <w:bookmarkEnd w:id="82"/>
    </w:p>
    <w:p w14:paraId="4261D14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sz w:val="24"/>
        </w:rPr>
        <w:t>每日巡视检查装饰装修现场，及时劝阻和制止违规行为；制止无效的，报告有关部门；</w:t>
      </w:r>
    </w:p>
    <w:p w14:paraId="209BF6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83" w:name="_Toc15561"/>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sz w:val="24"/>
        </w:rPr>
        <w:t>装饰装修记录完整。</w:t>
      </w:r>
      <w:bookmarkEnd w:id="83"/>
    </w:p>
    <w:p w14:paraId="5BDA1107">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应保证装修期间的水、电等供应，为客户提供装修便利。</w:t>
      </w:r>
    </w:p>
    <w:p w14:paraId="2DBEF16A">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客户的装修档案应包括装修方案、协议、验收资料等。</w:t>
      </w:r>
    </w:p>
    <w:p w14:paraId="49E79C90">
      <w:pPr>
        <w:spacing w:line="360" w:lineRule="auto"/>
        <w:outlineLvl w:val="1"/>
        <w:rPr>
          <w:rFonts w:hint="eastAsia" w:ascii="Times New Roman" w:hAnsi="Times New Roman"/>
          <w:sz w:val="24"/>
        </w:rPr>
      </w:pPr>
      <w:bookmarkStart w:id="84" w:name="_Toc2323"/>
      <w:r>
        <w:rPr>
          <w:rFonts w:ascii="Times New Roman" w:hAnsi="Times New Roman"/>
          <w:b/>
          <w:sz w:val="24"/>
        </w:rPr>
        <w:t>4.</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集中装修期应设有临时垃圾堆放处，当日清运。</w:t>
      </w:r>
      <w:bookmarkEnd w:id="84"/>
    </w:p>
    <w:p w14:paraId="3A9B6275">
      <w:pPr>
        <w:pStyle w:val="14"/>
        <w:rPr>
          <w:rFonts w:hint="eastAsia"/>
        </w:rPr>
      </w:pPr>
      <w:bookmarkStart w:id="85" w:name="_Toc11314"/>
      <w:bookmarkStart w:id="86" w:name="_Toc14775"/>
      <w:r>
        <w:rPr>
          <w:rFonts w:hint="eastAsia"/>
        </w:rPr>
        <w:t>4.4</w:t>
      </w:r>
      <w:r>
        <w:t xml:space="preserve">  </w:t>
      </w:r>
      <w:r>
        <w:rPr>
          <w:rFonts w:hint="eastAsia"/>
        </w:rPr>
        <w:t>报修服务</w:t>
      </w:r>
      <w:bookmarkEnd w:id="85"/>
      <w:bookmarkEnd w:id="86"/>
    </w:p>
    <w:p w14:paraId="00E8D012">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物业服务人应按照《物业服务合同》约定及时处理客户的报修，急修20分钟内赶到现场并进行应急处理，小修应当天完成（预约除外）。</w:t>
      </w:r>
    </w:p>
    <w:p w14:paraId="49DC2DFD">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对重点维修项目进行回访。</w:t>
      </w:r>
    </w:p>
    <w:p w14:paraId="59F91E54">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报修、维修应做好记录。</w:t>
      </w:r>
    </w:p>
    <w:p w14:paraId="01651CFC">
      <w:pPr>
        <w:pStyle w:val="14"/>
        <w:rPr>
          <w:rFonts w:hint="eastAsia"/>
        </w:rPr>
      </w:pPr>
      <w:bookmarkStart w:id="87" w:name="_Toc13854"/>
      <w:bookmarkStart w:id="88" w:name="_Toc14927"/>
      <w:r>
        <w:rPr>
          <w:rFonts w:hint="eastAsia"/>
        </w:rPr>
        <w:t>4.5</w:t>
      </w:r>
      <w:r>
        <w:t xml:space="preserve">  </w:t>
      </w:r>
      <w:r>
        <w:rPr>
          <w:rFonts w:hint="eastAsia"/>
        </w:rPr>
        <w:t>特约服务</w:t>
      </w:r>
      <w:bookmarkEnd w:id="87"/>
      <w:bookmarkEnd w:id="88"/>
    </w:p>
    <w:p w14:paraId="162B8595">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物业服务人应在条件许可的情况下，努力满足客户的特约服务需求。</w:t>
      </w:r>
    </w:p>
    <w:p w14:paraId="33831835">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特约服务通常包括商务配套服务和生活配套服务，如票务服务、会务服务、信报服务、复印装订；餐饮、购物；写字间租赁代理服务；其它服务。</w:t>
      </w:r>
    </w:p>
    <w:p w14:paraId="1A31E4C8">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对客户提供特约服务前，应向客户明示特约服务内容、服务标准、收费标准等。</w:t>
      </w:r>
    </w:p>
    <w:p w14:paraId="0161CF14">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举办大型商务和文化活动时应及时疏导人流，防止发生踩踏等安全事故。</w:t>
      </w:r>
    </w:p>
    <w:p w14:paraId="1B7A86FD">
      <w:pPr>
        <w:pStyle w:val="14"/>
        <w:rPr>
          <w:rFonts w:hint="eastAsia"/>
        </w:rPr>
      </w:pPr>
      <w:bookmarkStart w:id="89" w:name="_Toc15164"/>
      <w:bookmarkStart w:id="90" w:name="_Toc31865"/>
      <w:r>
        <w:rPr>
          <w:rFonts w:hint="eastAsia"/>
        </w:rPr>
        <w:t>4.6</w:t>
      </w:r>
      <w:r>
        <w:t xml:space="preserve">  </w:t>
      </w:r>
      <w:r>
        <w:rPr>
          <w:rFonts w:hint="eastAsia"/>
        </w:rPr>
        <w:t>文化服务</w:t>
      </w:r>
      <w:bookmarkEnd w:id="89"/>
      <w:bookmarkEnd w:id="90"/>
    </w:p>
    <w:p w14:paraId="434A9DA0">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楼内应设置有党建、红色精神文化园地，积极开展宣传、教育、学习等活动。</w:t>
      </w:r>
    </w:p>
    <w:p w14:paraId="7DA62ADD">
      <w:pPr>
        <w:spacing w:line="360" w:lineRule="auto"/>
        <w:rPr>
          <w:rFonts w:ascii="Times New Roman" w:hAnsi="Times New Roman"/>
          <w:sz w:val="24"/>
        </w:rPr>
      </w:pPr>
      <w:r>
        <w:rPr>
          <w:rFonts w:ascii="Times New Roman" w:hAnsi="Times New Roman"/>
          <w:b/>
          <w:sz w:val="24"/>
        </w:rPr>
        <w:t>4.</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物业服务人每年组织开展健康有益、积极向上的各类文化活动。</w:t>
      </w:r>
    </w:p>
    <w:p w14:paraId="78FFFA55">
      <w:pPr>
        <w:pStyle w:val="14"/>
        <w:rPr>
          <w:rFonts w:hint="eastAsia"/>
        </w:rPr>
      </w:pPr>
      <w:bookmarkStart w:id="91" w:name="_Toc31397"/>
      <w:bookmarkStart w:id="92" w:name="_Toc16788"/>
      <w:r>
        <w:rPr>
          <w:rFonts w:hint="eastAsia"/>
        </w:rPr>
        <w:t>4.7</w:t>
      </w:r>
      <w:r>
        <w:t xml:space="preserve">  </w:t>
      </w:r>
      <w:r>
        <w:rPr>
          <w:rFonts w:hint="eastAsia"/>
        </w:rPr>
        <w:t>客户满意度与改进服务质量</w:t>
      </w:r>
      <w:bookmarkEnd w:id="91"/>
      <w:bookmarkEnd w:id="92"/>
    </w:p>
    <w:p w14:paraId="23CC6C73">
      <w:pPr>
        <w:spacing w:line="360" w:lineRule="auto"/>
        <w:outlineLvl w:val="1"/>
        <w:rPr>
          <w:rFonts w:hint="eastAsia" w:ascii="Times New Roman" w:hAnsi="Times New Roman"/>
          <w:sz w:val="24"/>
        </w:rPr>
      </w:pPr>
      <w:bookmarkStart w:id="93" w:name="_Toc12898"/>
      <w:r>
        <w:rPr>
          <w:rFonts w:ascii="Times New Roman" w:hAnsi="Times New Roman"/>
          <w:b/>
          <w:sz w:val="24"/>
        </w:rPr>
        <w:t>4.</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客户满意度</w:t>
      </w:r>
      <w:bookmarkEnd w:id="93"/>
    </w:p>
    <w:p w14:paraId="014E18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客户满意度调查应符合以下要求：</w:t>
      </w:r>
    </w:p>
    <w:p w14:paraId="22AFAA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客户满意度调查方案具有针对性；</w:t>
      </w:r>
    </w:p>
    <w:p w14:paraId="1D3C4B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满意度调查内容应涵盖物业服务合同的约定；</w:t>
      </w:r>
    </w:p>
    <w:p w14:paraId="29D2E14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满意度调查结果、整改措施及改进结果向业主书面反馈；</w:t>
      </w:r>
    </w:p>
    <w:p w14:paraId="24E65C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每年开展客户满意度调查不少于2次，调查覆盖率100%，回收率不低于90%；</w:t>
      </w:r>
    </w:p>
    <w:p w14:paraId="575220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94" w:name="_Toc14054"/>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客户满意率应达95%以上；</w:t>
      </w:r>
      <w:bookmarkEnd w:id="94"/>
    </w:p>
    <w:p w14:paraId="33A3174C">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应建立服务质量评估与改进机制，通过客户满意度调查，对服务质量进行改进。</w:t>
      </w:r>
    </w:p>
    <w:p w14:paraId="68120D24">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每年至少开展一次服务质量考核和评估对所有服务项目及服务人员进行全面的评价。对发现的问题、客户评价、满意度调查中提出的问题制定整改报告，并对整改后的结果进行复查。</w:t>
      </w:r>
    </w:p>
    <w:p w14:paraId="1733004E">
      <w:pPr>
        <w:pStyle w:val="14"/>
        <w:rPr>
          <w:rFonts w:hint="eastAsia"/>
        </w:rPr>
      </w:pPr>
      <w:bookmarkStart w:id="95" w:name="_Toc16532"/>
      <w:bookmarkStart w:id="96" w:name="_Toc15679"/>
      <w:r>
        <w:rPr>
          <w:rFonts w:hint="eastAsia"/>
        </w:rPr>
        <w:t>4.8</w:t>
      </w:r>
      <w:r>
        <w:t xml:space="preserve">  </w:t>
      </w:r>
      <w:r>
        <w:rPr>
          <w:rFonts w:hint="eastAsia"/>
        </w:rPr>
        <w:t>信报服务与快递服务</w:t>
      </w:r>
      <w:bookmarkEnd w:id="95"/>
      <w:bookmarkEnd w:id="96"/>
    </w:p>
    <w:p w14:paraId="493C6A04">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信报服务</w:t>
      </w:r>
    </w:p>
    <w:p w14:paraId="031853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设立信报投递柜，正确分拣各类信报，准确投送。做好挂号信件和报刊的收发登记工作。正确处理各类盲信、退信、受损信件。</w:t>
      </w:r>
    </w:p>
    <w:p w14:paraId="5CB04CF2">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快递服务</w:t>
      </w:r>
    </w:p>
    <w:p w14:paraId="40AAB8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应建立快递收发制度，为客户收发快递物品提供便利。不应阻止快递人员进入管理区域收发快递，非经收件人许可，不应阻止快递人员上门投递。</w:t>
      </w:r>
    </w:p>
    <w:p w14:paraId="001DEA8F">
      <w:pPr>
        <w:pStyle w:val="14"/>
        <w:rPr>
          <w:rFonts w:hint="eastAsia"/>
        </w:rPr>
      </w:pPr>
      <w:bookmarkStart w:id="97" w:name="_Toc20706"/>
      <w:bookmarkStart w:id="98" w:name="_Toc25717"/>
      <w:r>
        <w:rPr>
          <w:rFonts w:hint="eastAsia"/>
        </w:rPr>
        <w:t>4.9</w:t>
      </w:r>
      <w:r>
        <w:t xml:space="preserve">  </w:t>
      </w:r>
      <w:r>
        <w:rPr>
          <w:rFonts w:hint="eastAsia"/>
        </w:rPr>
        <w:t>会议服务</w:t>
      </w:r>
      <w:bookmarkEnd w:id="97"/>
      <w:bookmarkEnd w:id="98"/>
    </w:p>
    <w:p w14:paraId="479B8D4E">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物业服务人可为客户提供会议服务。</w:t>
      </w:r>
    </w:p>
    <w:p w14:paraId="0C107421">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会议服务应符合以下要求：</w:t>
      </w:r>
    </w:p>
    <w:p w14:paraId="75839A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详细了解客户需求并填写会议订单，根据需求制定不同类别的会议服务标准。</w:t>
      </w:r>
    </w:p>
    <w:p w14:paraId="147C76E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按客户需求布置会议室，设置会议引导标志，对会议音响、视听、灯光、转播等设施设备进行全面检查调试，确保正常使用。</w:t>
      </w:r>
    </w:p>
    <w:p w14:paraId="76EDB4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为会议提供书写用品、卫生用品和饮水杯具，摆放时保持间距精准，确保用品、杯具卫生。</w:t>
      </w:r>
    </w:p>
    <w:p w14:paraId="78FE76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99" w:name="_Toc7741"/>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会议服务人员应向参会人员进行安全、疏散通道等提示。</w:t>
      </w:r>
      <w:bookmarkEnd w:id="99"/>
    </w:p>
    <w:p w14:paraId="08A104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播放投影前将会议室内灯光进行调节，保持现场灯光柔和，投影幕布清晰。</w:t>
      </w:r>
    </w:p>
    <w:p w14:paraId="6E5F52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sz w:val="24"/>
        </w:rPr>
        <w:t>会议服务人员应在会场内停留，细心观察客户需求，并在会议室门口备岗，及时提供茶水服务。</w:t>
      </w:r>
    </w:p>
    <w:p w14:paraId="14C253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100" w:name="_Toc2070"/>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sz w:val="24"/>
        </w:rPr>
        <w:t>会议结束后，请客户在会议订单上签字确认。</w:t>
      </w:r>
      <w:bookmarkEnd w:id="100"/>
    </w:p>
    <w:p w14:paraId="079A5D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sz w:val="24"/>
        </w:rPr>
        <w:t>待与会人员全部离场后，清理会场，清洁会议室及使用过的杯具并进行消毒。</w:t>
      </w:r>
    </w:p>
    <w:p w14:paraId="69F9FADB">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建立</w:t>
      </w:r>
      <w:r>
        <w:rPr>
          <w:rFonts w:hint="eastAsia" w:ascii="Times New Roman" w:hAnsi="Times New Roman"/>
          <w:sz w:val="24"/>
          <w:lang w:val="en-US" w:eastAsia="zh-CN"/>
        </w:rPr>
        <w:t>健</w:t>
      </w:r>
      <w:bookmarkStart w:id="183" w:name="_GoBack"/>
      <w:bookmarkEnd w:id="183"/>
      <w:r>
        <w:rPr>
          <w:rFonts w:hint="eastAsia" w:ascii="Times New Roman" w:hAnsi="Times New Roman"/>
          <w:sz w:val="24"/>
        </w:rPr>
        <w:t>全会议服务安全管理制度，严格执行安全管理制度，制定切实可行的消防疏散应急预案和突发事件应急处理程序。</w:t>
      </w:r>
    </w:p>
    <w:p w14:paraId="7DB80CD7">
      <w:pPr>
        <w:spacing w:line="360" w:lineRule="auto"/>
        <w:rPr>
          <w:rFonts w:hint="eastAsia" w:ascii="Times New Roman" w:hAnsi="Times New Roman"/>
          <w:sz w:val="24"/>
        </w:rPr>
      </w:pPr>
    </w:p>
    <w:p w14:paraId="05DAD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091130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0224B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6CD01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7989A2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1922C9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65EEC3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4355E2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4EC3C5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0911C8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4489D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72F66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3CD45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720CFE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61397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218B81FF">
      <w:pPr>
        <w:pStyle w:val="12"/>
        <w:numPr>
          <w:ilvl w:val="0"/>
          <w:numId w:val="0"/>
        </w:numPr>
        <w:rPr>
          <w:rFonts w:hint="eastAsia"/>
          <w:lang w:val="en-US" w:eastAsia="zh-CN"/>
        </w:rPr>
      </w:pPr>
      <w:bookmarkStart w:id="101" w:name="_Toc21675"/>
      <w:bookmarkStart w:id="102" w:name="_Toc20314"/>
      <w:r>
        <w:rPr>
          <w:rFonts w:hint="eastAsia"/>
          <w:lang w:val="en-US" w:eastAsia="zh-CN"/>
        </w:rPr>
        <w:t>5  房屋共用部位维护与管理</w:t>
      </w:r>
      <w:bookmarkEnd w:id="101"/>
      <w:bookmarkEnd w:id="102"/>
    </w:p>
    <w:p w14:paraId="5CF3C391">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.0.1  </w:t>
      </w:r>
      <w:r>
        <w:rPr>
          <w:rFonts w:hint="eastAsia" w:ascii="Times New Roman" w:hAnsi="Times New Roman" w:eastAsia="宋体"/>
          <w:sz w:val="24"/>
          <w:szCs w:val="24"/>
        </w:rPr>
        <w:t>物业服务人应指导客户依据房屋使用说明书正确使用房屋，遵守房屋安全使用的相关规范，保障房屋正常使用功能。</w:t>
      </w:r>
    </w:p>
    <w:p w14:paraId="25C061A6">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eastAsia="宋体"/>
          <w:sz w:val="24"/>
          <w:szCs w:val="24"/>
        </w:rPr>
        <w:t>房屋在使用和检查中发现的质量问题，在保修期内的应及时报建设单位进行维修。保修期外的，属于小修范围的应及时组织修复；属于大、中修范围的应及时编制维修计划，向房屋产权人提出报告与建议，根据房屋产权人的决定，组织维修或更新改造。</w:t>
      </w:r>
    </w:p>
    <w:p w14:paraId="70C8239D">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sz w:val="24"/>
          <w:szCs w:val="24"/>
        </w:rPr>
        <w:t>写字楼外观应完好、整洁；外墙面无明显剥落、墙面饰材无明显遗缺、玻璃幕墙安装牢固、无开裂；屋面防水应完好无损，排水通畅；防雷接地等设施应及时防腐，保证其使用功能。</w:t>
      </w:r>
    </w:p>
    <w:p w14:paraId="3BFC4FFA">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eastAsia="宋体"/>
          <w:sz w:val="24"/>
          <w:szCs w:val="24"/>
        </w:rPr>
        <w:t>室外招牌、广告牌、霓虹灯安装牢固，保持整洁、统一和美观，无安全隐患或破损。</w:t>
      </w:r>
    </w:p>
    <w:p w14:paraId="158158A4">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eastAsia="宋体"/>
          <w:sz w:val="24"/>
          <w:szCs w:val="24"/>
        </w:rPr>
        <w:t>对违反规划在共有部位私搭乱建、私设广告、擅自改变房屋用途的行为应及时劝阻，劝阻无效的，应按《物业服务合同》约定进行处理并报告相关行政主管部门。</w:t>
      </w:r>
    </w:p>
    <w:p w14:paraId="382840CD">
      <w:pPr>
        <w:spacing w:line="360" w:lineRule="auto"/>
        <w:outlineLvl w:val="1"/>
        <w:rPr>
          <w:rFonts w:hint="eastAsia" w:ascii="Times New Roman" w:hAnsi="Times New Roman" w:eastAsia="宋体"/>
          <w:sz w:val="24"/>
          <w:szCs w:val="24"/>
        </w:rPr>
      </w:pPr>
      <w:bookmarkStart w:id="103" w:name="_Toc8573"/>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6</w:t>
      </w:r>
      <w:r>
        <w:rPr>
          <w:rFonts w:ascii="Times New Roman" w:hAnsi="Times New Roman"/>
          <w:b/>
          <w:bCs/>
          <w:color w:val="000000"/>
          <w:sz w:val="24"/>
          <w:szCs w:val="24"/>
        </w:rPr>
        <w:t xml:space="preserve">  </w:t>
      </w:r>
      <w:r>
        <w:rPr>
          <w:rFonts w:hint="eastAsia" w:ascii="Times New Roman" w:hAnsi="Times New Roman" w:eastAsia="宋体"/>
          <w:sz w:val="24"/>
          <w:szCs w:val="24"/>
        </w:rPr>
        <w:t>标识管理应符合以下规定：</w:t>
      </w:r>
      <w:bookmarkEnd w:id="103"/>
    </w:p>
    <w:p w14:paraId="6CD933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sz w:val="24"/>
          <w:szCs w:val="24"/>
        </w:rPr>
        <w:t>各主出入口应设有平面示意图；写字楼大堂内应设置客户楼层分布图；</w:t>
      </w:r>
    </w:p>
    <w:p w14:paraId="7F4FB3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sz w:val="24"/>
          <w:szCs w:val="24"/>
        </w:rPr>
        <w:t>主要道路、停车场等应设有导向和泊车标识；</w:t>
      </w:r>
    </w:p>
    <w:p w14:paraId="32D535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sz w:val="24"/>
          <w:szCs w:val="24"/>
        </w:rPr>
        <w:t>紧急出口、消防通道、禁烟区等应设有警示性标识；</w:t>
      </w:r>
    </w:p>
    <w:p w14:paraId="04A63D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sz w:val="24"/>
          <w:szCs w:val="24"/>
        </w:rPr>
        <w:t>各楼层应设有指示、引导标识；</w:t>
      </w:r>
    </w:p>
    <w:p w14:paraId="643555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sz w:val="24"/>
          <w:szCs w:val="24"/>
        </w:rPr>
        <w:t>公共卫生间、电话、服务台等公共服务设施应设有引导和位置标识；</w:t>
      </w:r>
    </w:p>
    <w:p w14:paraId="6D98EC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eastAsia="宋体"/>
          <w:sz w:val="24"/>
          <w:szCs w:val="24"/>
        </w:rPr>
        <w:t>共用设备设施、安全设备设施应设有标识或安全警示标识；</w:t>
      </w:r>
    </w:p>
    <w:p w14:paraId="766200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sz w:val="24"/>
          <w:szCs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eastAsia="宋体"/>
          <w:sz w:val="24"/>
          <w:szCs w:val="24"/>
        </w:rPr>
        <w:t>召开会议或举办活动等临时性服务应设有指示、引导标识。</w:t>
      </w:r>
    </w:p>
    <w:p w14:paraId="271E6B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6AB9DD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42723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7F25C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67F8B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14:paraId="270EF7A8">
      <w:pPr>
        <w:pStyle w:val="12"/>
        <w:numPr>
          <w:ilvl w:val="0"/>
          <w:numId w:val="0"/>
        </w:numPr>
        <w:rPr>
          <w:rFonts w:hint="eastAsia"/>
          <w:lang w:val="en-US" w:eastAsia="zh-CN"/>
        </w:rPr>
      </w:pPr>
      <w:bookmarkStart w:id="104" w:name="_Toc28805"/>
      <w:bookmarkStart w:id="105" w:name="_Toc1208"/>
      <w:r>
        <w:rPr>
          <w:rFonts w:hint="eastAsia"/>
          <w:lang w:val="en-US" w:eastAsia="zh-CN"/>
        </w:rPr>
        <w:t>6  共用设施设备运行与维护</w:t>
      </w:r>
      <w:bookmarkEnd w:id="104"/>
      <w:bookmarkEnd w:id="105"/>
    </w:p>
    <w:p w14:paraId="611545AC">
      <w:pPr>
        <w:pStyle w:val="14"/>
      </w:pPr>
      <w:bookmarkStart w:id="106" w:name="_Toc21883"/>
      <w:bookmarkStart w:id="107" w:name="_Toc15210"/>
      <w:r>
        <w:rPr>
          <w:rFonts w:hint="eastAsia"/>
          <w:lang w:val="en-US" w:eastAsia="zh-CN"/>
        </w:rPr>
        <w:t>6</w:t>
      </w:r>
      <w:r>
        <w:t xml:space="preserve">.1  </w:t>
      </w:r>
      <w:r>
        <w:rPr>
          <w:rFonts w:hint="eastAsia"/>
        </w:rPr>
        <w:t>一般规定</w:t>
      </w:r>
      <w:bookmarkEnd w:id="106"/>
      <w:bookmarkEnd w:id="107"/>
    </w:p>
    <w:p w14:paraId="56B0C187">
      <w:pPr>
        <w:spacing w:line="360" w:lineRule="auto"/>
        <w:rPr>
          <w:rFonts w:ascii="Times New Roman" w:hAnsi="Times New Roman"/>
          <w:sz w:val="24"/>
        </w:rPr>
      </w:pPr>
      <w:r>
        <w:rPr>
          <w:rFonts w:hint="eastAsia" w:ascii="Times New Roman" w:hAnsi="Times New Roman"/>
          <w:b/>
          <w:sz w:val="24"/>
          <w:lang w:val="en-US" w:eastAsia="zh-CN"/>
        </w:rPr>
        <w:t>6</w:t>
      </w:r>
      <w:r>
        <w:rPr>
          <w:rFonts w:ascii="Times New Roman" w:hAnsi="Times New Roman"/>
          <w:b/>
          <w:sz w:val="24"/>
        </w:rPr>
        <w:t>.1.1</w:t>
      </w:r>
      <w:r>
        <w:rPr>
          <w:rFonts w:ascii="Times New Roman" w:hAnsi="Times New Roman"/>
          <w:sz w:val="24"/>
        </w:rPr>
        <w:t xml:space="preserve">  </w:t>
      </w:r>
      <w:r>
        <w:rPr>
          <w:rFonts w:hint="eastAsia" w:ascii="Times New Roman" w:hAnsi="Times New Roman"/>
          <w:sz w:val="24"/>
        </w:rPr>
        <w:t>认真执行共用设施设备运行管理制度及维修养护制度</w:t>
      </w:r>
      <w:r>
        <w:rPr>
          <w:rFonts w:hint="eastAsia" w:ascii="Times New Roman" w:hAnsi="Times New Roman"/>
          <w:sz w:val="24"/>
          <w:lang w:eastAsia="zh-CN"/>
        </w:rPr>
        <w:t>；</w:t>
      </w:r>
      <w:r>
        <w:rPr>
          <w:rFonts w:hint="eastAsia" w:ascii="Times New Roman" w:hAnsi="Times New Roman"/>
          <w:sz w:val="24"/>
        </w:rPr>
        <w:t>制定针对性的设施设备维修养护计划并组织实施</w:t>
      </w:r>
      <w:r>
        <w:rPr>
          <w:rFonts w:ascii="Times New Roman" w:hAnsi="Times New Roman"/>
          <w:sz w:val="24"/>
        </w:rPr>
        <w:t>。</w:t>
      </w:r>
    </w:p>
    <w:p w14:paraId="7000C6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.1.2</w:t>
      </w:r>
      <w:r>
        <w:rPr>
          <w:rFonts w:ascii="Times New Roman" w:hAnsi="Times New Roman"/>
          <w:sz w:val="24"/>
        </w:rPr>
        <w:t xml:space="preserve">  </w:t>
      </w:r>
      <w:r>
        <w:rPr>
          <w:rFonts w:hint="eastAsia" w:ascii="Times New Roman" w:hAnsi="Times New Roman"/>
          <w:sz w:val="24"/>
        </w:rPr>
        <w:t>共用设施设备的管理和操作，应配备具备上岗资格的专业技术人员，各专业人员应严格执行操作规程和安全作业的规定。</w:t>
      </w:r>
    </w:p>
    <w:p w14:paraId="1F5B6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应明确规定配电系统的限电、停电审批权限并通知客户；遇紧急情况时，应按规定采取必要的处置措施。</w:t>
      </w:r>
    </w:p>
    <w:p w14:paraId="433BE0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当发生重大人身、设备安全事故，如电梯、中央空调和锅炉故障、停水、爆管及水污染等，应立即启动相应的应急预案，及时向主管部门报告和通知客户，并做好记录。</w:t>
      </w:r>
    </w:p>
    <w:p w14:paraId="6B4C12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锅炉系统应有完善的环保和水处理设施设备，且应100%正常投用；燃料应符合省市环保标准，烟尘、二氧化硫等污染物应达标排放；软化水、炉水指标应达到国家规定的水质指标。</w:t>
      </w:r>
    </w:p>
    <w:p w14:paraId="42215F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机房环境应符合设施设备要求，保持环境整洁，无渗漏、无积水、无杂物堆放；设备表面无积尘、无锈蚀；无鼠及虫害发生。</w:t>
      </w:r>
    </w:p>
    <w:p w14:paraId="2149FF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共用设施设备运行管理及维修养护应做好记录，并收集整理文字、图像、音频，资料存档。</w:t>
      </w:r>
    </w:p>
    <w:p w14:paraId="5A025AA8">
      <w:pPr>
        <w:pStyle w:val="14"/>
        <w:rPr>
          <w:rFonts w:hint="eastAsia"/>
          <w:lang w:val="en-US" w:eastAsia="zh-CN"/>
        </w:rPr>
      </w:pPr>
      <w:bookmarkStart w:id="108" w:name="_Toc18194"/>
      <w:bookmarkStart w:id="109" w:name="_Toc26992"/>
      <w:r>
        <w:rPr>
          <w:rFonts w:hint="eastAsia"/>
          <w:lang w:val="en-US" w:eastAsia="zh-CN"/>
        </w:rPr>
        <w:t>6.2</w:t>
      </w:r>
      <w:r>
        <w:t xml:space="preserve">  </w:t>
      </w:r>
      <w:r>
        <w:rPr>
          <w:rFonts w:hint="eastAsia"/>
          <w:lang w:val="en-US" w:eastAsia="zh-CN"/>
        </w:rPr>
        <w:t>公共照明</w:t>
      </w:r>
      <w:bookmarkEnd w:id="108"/>
      <w:bookmarkEnd w:id="109"/>
    </w:p>
    <w:p w14:paraId="25EA5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合理制定公共照明、亮化、泛化照明系统的开启、关闭时间，满足物业服务区域内使用要求。</w:t>
      </w:r>
    </w:p>
    <w:p w14:paraId="077B7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应每日巡视院落、道路、大堂、电梯厅、楼道等公共部位照明设施和写字楼景观照明、霓虹灯等，不需要的照明应及时关闭，并及时修复损坏的照明设施。</w:t>
      </w:r>
    </w:p>
    <w:p w14:paraId="350E2A41">
      <w:pPr>
        <w:pStyle w:val="14"/>
        <w:rPr>
          <w:rFonts w:hint="eastAsia"/>
          <w:lang w:val="en-US" w:eastAsia="zh-CN"/>
        </w:rPr>
      </w:pPr>
      <w:bookmarkStart w:id="110" w:name="_Toc25438"/>
      <w:bookmarkStart w:id="111" w:name="_Toc20267"/>
      <w:r>
        <w:rPr>
          <w:rFonts w:hint="eastAsia"/>
          <w:lang w:val="en-US" w:eastAsia="zh-CN"/>
        </w:rPr>
        <w:t>6.3</w:t>
      </w:r>
      <w:r>
        <w:t xml:space="preserve">  </w:t>
      </w:r>
      <w:r>
        <w:rPr>
          <w:rFonts w:hint="eastAsia"/>
          <w:lang w:val="en-US" w:eastAsia="zh-CN"/>
        </w:rPr>
        <w:t>供配电系统</w:t>
      </w:r>
      <w:bookmarkEnd w:id="110"/>
      <w:bookmarkEnd w:id="111"/>
    </w:p>
    <w:p w14:paraId="152DED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供配电系统（未移交电网企业的）管理应符合下列规定：</w:t>
      </w:r>
    </w:p>
    <w:p w14:paraId="4EAFE2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总变（配）电室应设专人管理，定时检查设备运行状况。具备无人值守条件的变（配）电室应定期检查，用电高峰时期适当增加巡查次数；其他低压配电室应定期巡查；配电室安全标识、安全防护用品齐全，通风照明良好，能有效防止有害生物进入；无有毒有害危险品及杂物存放，环境整洁并符合设备要求，配备符合要求的灭火器材；</w:t>
      </w:r>
    </w:p>
    <w:p w14:paraId="4C5F67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应定期对发电机组设备进行检查、维护，保持设备完好，每月二次启动备用发电机（组），确保随时可应急启用；应定期对应急照明（带蓄电池）设施进行检查、维护，每年对蓄电池组进行充放电试验，使其处于有效待命状态；每年对变配电设备设施进行停电全面检修，并做记录；每年对高压电气设备进行预防性试验，留存高压电气测试合格的报告。</w:t>
      </w:r>
    </w:p>
    <w:p w14:paraId="4C97B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供配电系统（未移交电网企业的）运行应满足下列要求：</w:t>
      </w:r>
    </w:p>
    <w:p w14:paraId="510D16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高（低）压变（配）电柜操作运行正常，表计显示准确；</w:t>
      </w:r>
    </w:p>
    <w:p w14:paraId="49ADED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高（低）压变压器运行正常，温控显示准确，联控动作正常；</w:t>
      </w:r>
    </w:p>
    <w:p w14:paraId="1C2852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变（配）电柜直流操作系统运行正常，蓄电池组充、放电量稳定，符合工作要求，至少每年进行一次充、放电实验；</w:t>
      </w:r>
    </w:p>
    <w:p w14:paraId="6914E0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功率因数自动补偿电容器（组）运行正常，功率因素不低于±0.9，电容器容量满足工作要求，无鼓包、漏液等异常情况，自动切换正确可靠；</w:t>
      </w:r>
    </w:p>
    <w:p w14:paraId="080B3F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112" w:name="_Toc15042"/>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变（配）电系统联络自切正常。</w:t>
      </w:r>
      <w:bookmarkEnd w:id="112"/>
    </w:p>
    <w:p w14:paraId="61A83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应急供电系统（未移交电网企业的）应符合下列规定：</w:t>
      </w:r>
    </w:p>
    <w:p w14:paraId="4E9005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应按照发电机组设备使用说明书的要求进行维护保养，保证其功能完善；定期更换发电机机油、机油滤清器、柴油滤清器、空气滤清器、冷却液；</w:t>
      </w:r>
    </w:p>
    <w:p w14:paraId="3651DD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应每月对应急照明柜进行检查、维护、清洁和切换试验，保证其工作正常；定期进行蓄电池组充、放电试验；</w:t>
      </w:r>
    </w:p>
    <w:p w14:paraId="6954D6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113" w:name="_Toc7445"/>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制定双电源切换操作程序，做好备用电源切换准备。</w:t>
      </w:r>
      <w:bookmarkEnd w:id="113"/>
    </w:p>
    <w:p w14:paraId="0AA5880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14" w:name="_Toc21639"/>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供配电系统安全工器具配置和使用要求</w:t>
      </w:r>
      <w:bookmarkEnd w:id="114"/>
    </w:p>
    <w:p w14:paraId="2943E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应配备质量合格、数量满足工作需求的安全工器具，安全工器具使用前应进行试验有效期的核查及外观检查，安全工器具应妥善保管，存放在干燥通风的场所，不允许当作其他工具使用，且不合格的安全工器具不应存放在工作现场。</w:t>
      </w:r>
    </w:p>
    <w:p w14:paraId="5AC0707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15" w:name="_Toc27109"/>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物业服务区域内应配置电动车充电设备</w:t>
      </w:r>
      <w:bookmarkEnd w:id="115"/>
    </w:p>
    <w:p w14:paraId="42E56A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改建、扩建的民用电动汽车充电基础设施的设计、施工及验收应符合《电动汽车充电基础设施技术标准》，宜选取停车场中集中停车区域设置电动汽车停车位，充电桩宜实行“一位一桩”。充电设施应处于视频监控设施的监控范围内。</w:t>
      </w:r>
    </w:p>
    <w:p w14:paraId="385F81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应配置充电桩硬件维护保养人员，维护保养人员应按充电桩生产厂家的顾客手册和国家标准进行月度维护、季度维护和年度维护，并做好相关检查保养记录，每年维护总次数不得少于12次。</w:t>
      </w:r>
    </w:p>
    <w:p w14:paraId="521671BD">
      <w:pPr>
        <w:pStyle w:val="14"/>
        <w:rPr>
          <w:rFonts w:hint="eastAsia"/>
          <w:lang w:val="en-US" w:eastAsia="zh-CN"/>
        </w:rPr>
      </w:pPr>
      <w:bookmarkStart w:id="116" w:name="_Toc9525"/>
      <w:bookmarkStart w:id="117" w:name="_Toc12764"/>
      <w:r>
        <w:rPr>
          <w:rFonts w:hint="eastAsia"/>
          <w:lang w:val="en-US" w:eastAsia="zh-CN"/>
        </w:rPr>
        <w:t>6.4</w:t>
      </w:r>
      <w:r>
        <w:t xml:space="preserve">  </w:t>
      </w:r>
      <w:r>
        <w:rPr>
          <w:rFonts w:hint="eastAsia"/>
          <w:lang w:val="en-US" w:eastAsia="zh-CN"/>
        </w:rPr>
        <w:t>电梯</w:t>
      </w:r>
      <w:bookmarkEnd w:id="116"/>
      <w:bookmarkEnd w:id="117"/>
    </w:p>
    <w:p w14:paraId="259CB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应委托有专业资质的维修保养单位对电梯、自动扶梯每半月进行一次维护保养；按市场监管部门要求，每年对电梯进行安全检测并获得《安全检验合格证》，确保其在有效期内运行。</w:t>
      </w:r>
    </w:p>
    <w:p w14:paraId="38CBF4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应设专人监督电梯维修保养单位认真落实维修保养过程中的现场安全防护措施，保证施工安全。</w:t>
      </w:r>
    </w:p>
    <w:p w14:paraId="04C783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设专职管理人员对电梯运行进行管理，应每日巡查，保证电梯正常运行，平层准确、开/关门姿态正常，轿厢照明、楼层显示器、内外呼梯控制板外观及功能完好，警铃或其它救助设备功能完备，称重装置可靠，安全装置有效无缺损；自动扶梯运行平稳舒适，安全防护装置齐全有效；根据温度情况开关轿厢风扇；并做好日常运行巡检及记录。</w:t>
      </w:r>
    </w:p>
    <w:p w14:paraId="03EFFF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物业服务人应通过多种方式宣传电梯正确使用、应急救援等安全方面的知识，提高电梯乘坐人员的自我保护和安全意识。</w:t>
      </w:r>
    </w:p>
    <w:p w14:paraId="41B328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根据客户使用需求，相应的调整电梯运行时间；电梯故障或因故停止使用时，应及时告知客户。</w:t>
      </w:r>
    </w:p>
    <w:p w14:paraId="1301CA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电梯机房应实行封闭管理，安全标识齐全，机房内温度不超过设备安全运行环境温度，配备应急照明和灭火器，盘车工具齐全，并置于显眼方便处。</w:t>
      </w:r>
    </w:p>
    <w:p w14:paraId="48E10F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电梯发生故障时，应立即断电停用，采取有效的应急救援措施，并通知维修保养单位和相关部门，及时消除安全隐患。</w:t>
      </w:r>
    </w:p>
    <w:p w14:paraId="41B2C1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要求电梯维修保养单位设立24小时维修值班电话。电梯发生一般性故障，专业维修保养人员应在1小时内到达现场维修；发生电梯困人或其它重大事件时，电梯专职管理人员应先进行应急处理，专业维修保养人员应在30分钟内到达现场进行抢修。</w:t>
      </w:r>
    </w:p>
    <w:p w14:paraId="50540B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sz w:val="24"/>
        </w:rPr>
        <w:t xml:space="preserve">  </w:t>
      </w:r>
      <w:r>
        <w:rPr>
          <w:rFonts w:hint="eastAsia" w:ascii="Times New Roman" w:hAnsi="Times New Roman"/>
          <w:sz w:val="24"/>
        </w:rPr>
        <w:t>合格证、年检证明、紧急救援电话和乘梯注意事项，应张贴在轿厢明显位置。</w:t>
      </w:r>
    </w:p>
    <w:p w14:paraId="0DB6F3DE">
      <w:pPr>
        <w:pStyle w:val="14"/>
        <w:rPr>
          <w:rFonts w:hint="eastAsia"/>
          <w:lang w:val="en-US" w:eastAsia="zh-CN"/>
        </w:rPr>
      </w:pPr>
      <w:bookmarkStart w:id="118" w:name="_Toc7600"/>
      <w:bookmarkStart w:id="119" w:name="_Toc20531"/>
      <w:r>
        <w:rPr>
          <w:rFonts w:hint="eastAsia"/>
          <w:lang w:val="en-US" w:eastAsia="zh-CN"/>
        </w:rPr>
        <w:t>6.5</w:t>
      </w:r>
      <w:r>
        <w:t xml:space="preserve">  </w:t>
      </w:r>
      <w:r>
        <w:rPr>
          <w:rFonts w:hint="eastAsia"/>
          <w:lang w:val="en-US" w:eastAsia="zh-CN"/>
        </w:rPr>
        <w:t>通风空调系统</w:t>
      </w:r>
      <w:bookmarkEnd w:id="118"/>
      <w:bookmarkEnd w:id="119"/>
    </w:p>
    <w:p w14:paraId="425716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在制冷、供暖期前一个月，应完成设备维护、保养，包括但不限于循环泵、空调主机、冷却风机电柜主电路螺栓紧固，测试绝缘值。</w:t>
      </w:r>
    </w:p>
    <w:p w14:paraId="7DEE27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空调系统开机前应进行检查，测试其运行控制和安全控制功能，记录运行参数，分析运行记录符合要求后方能开机。</w:t>
      </w:r>
    </w:p>
    <w:p w14:paraId="052395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每日应检查冷却塔风机、变速齿轮箱、淋水装置、循环泵、电器控制箱，保证冷却塔及附属设施的正常运行和良好保养，提供符合要求的冷却水。</w:t>
      </w:r>
    </w:p>
    <w:p w14:paraId="41F07E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每日应检查空调系统主机、水泵、电机、管道、膨胀水箱、集水器、分水器。</w:t>
      </w:r>
    </w:p>
    <w:p w14:paraId="291DF9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每半年应检查空调机组马达、风机的运转情况。</w:t>
      </w:r>
    </w:p>
    <w:p w14:paraId="4A33F6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应确保各种管道、阀门及仪表完好齐备。</w:t>
      </w:r>
    </w:p>
    <w:p w14:paraId="73F652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应保证冷冻主机及附属设施的正常运行和良好保养，提供符合要求的冷冻水。</w:t>
      </w:r>
    </w:p>
    <w:p w14:paraId="45BBF6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保证采暖热水及附属设施的正常运行和良好保养，提供符合要求的采暖热水。</w:t>
      </w:r>
    </w:p>
    <w:p w14:paraId="25719F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sz w:val="24"/>
        </w:rPr>
        <w:t xml:space="preserve">  </w:t>
      </w:r>
      <w:r>
        <w:rPr>
          <w:rFonts w:hint="eastAsia" w:ascii="Times New Roman" w:hAnsi="Times New Roman"/>
          <w:sz w:val="24"/>
        </w:rPr>
        <w:t>定期委托专业机构对空调系统进行清洗保养，清洗内容和频次应符合空调使用说明相关规定；集中空调通风系统应符合国家卫生标准要求，各设施部件应按照《公共场所集中空调通风系统卫生管理办法》及相关要求进行清洗维护。</w:t>
      </w:r>
    </w:p>
    <w:p w14:paraId="6F636C1A">
      <w:pPr>
        <w:pStyle w:val="14"/>
        <w:rPr>
          <w:rFonts w:hint="eastAsia"/>
          <w:lang w:val="en-US" w:eastAsia="zh-CN"/>
        </w:rPr>
      </w:pPr>
      <w:bookmarkStart w:id="120" w:name="_Toc13232"/>
      <w:bookmarkStart w:id="121" w:name="_Toc10024"/>
      <w:r>
        <w:rPr>
          <w:rFonts w:hint="eastAsia"/>
          <w:lang w:val="en-US" w:eastAsia="zh-CN"/>
        </w:rPr>
        <w:t>6.6</w:t>
      </w:r>
      <w:r>
        <w:t xml:space="preserve">  </w:t>
      </w:r>
      <w:r>
        <w:rPr>
          <w:rFonts w:hint="eastAsia"/>
          <w:lang w:val="en-US" w:eastAsia="zh-CN"/>
        </w:rPr>
        <w:t>锅炉系统</w:t>
      </w:r>
      <w:bookmarkEnd w:id="120"/>
      <w:bookmarkEnd w:id="121"/>
    </w:p>
    <w:p w14:paraId="7F83D7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本章规定适用于自行配置锅炉系统的写字楼。</w:t>
      </w:r>
    </w:p>
    <w:p w14:paraId="783FF6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承压锅炉使用管理应符合下列规定：</w:t>
      </w:r>
    </w:p>
    <w:p w14:paraId="06C81F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严格执行国务院《特种设备安全监察条例》和有关安全生产的法律、行政法规的规定，保证锅炉的安全使用；</w:t>
      </w:r>
    </w:p>
    <w:p w14:paraId="0088CE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锅炉在安装前应到特种设备安全监督管理部门备案，锅炉在投入使用前或使用后30日内，应当向设区市的特种设备安全监督管理部门办理注册登记手续，领取锅炉使用证。使用证应置于锅炉的显著位置；</w:t>
      </w:r>
    </w:p>
    <w:p w14:paraId="6F59B5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锅炉系统应专门进行承接查验，并做好记录，查验中应把竣工的相关运行调试资料进行移交；</w:t>
      </w:r>
    </w:p>
    <w:p w14:paraId="37D320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锅炉管理人员及操作人员应当经特种设备安全监管管理部门考核合格，取得由国家统一颁发的特种作业人员证书，方可从事相应的作业和管理工作；</w:t>
      </w:r>
    </w:p>
    <w:p w14:paraId="4130CA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技术档案包括：锅炉的设计文件、能效审查报告、产品质量合格证明、使用维护说明等文件以及安装调试、运转资料；特种设备的定期检验和定期自行检查记录；锅炉的日常使用状况记录；锅炉及其安全附件，高低水位联锁安全保护装置、测量调控装置及有关附属仪器仪表的日常维护保养记录；锅炉运行故障和事故记录；锅炉管理人员、操作人员、水质处理人员的安全教育和技能培训记录；</w:t>
      </w:r>
    </w:p>
    <w:p w14:paraId="2604BC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122" w:name="_Toc3666"/>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sz w:val="24"/>
        </w:rPr>
        <w:t>每月应对在用锅炉进行检查，发现问题应及时处理；</w:t>
      </w:r>
      <w:bookmarkEnd w:id="122"/>
    </w:p>
    <w:p w14:paraId="3D2F39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sz w:val="24"/>
        </w:rPr>
        <w:t>在锅炉安全检验合格有效期届满前1个月，向特种设备检验检测机构提出定期检验要求：在用锅炉每年进行外部检验，每两年进行内部检验，每六年进行水压试验。未经检验或者检验不合格的锅炉，不得继续使用；</w:t>
      </w:r>
    </w:p>
    <w:p w14:paraId="5C3D6A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sz w:val="24"/>
        </w:rPr>
        <w:t>制定锅炉的事故应急措施和救援预案；在用锅炉应做好防爆的安全管理；</w:t>
      </w:r>
    </w:p>
    <w:p w14:paraId="3016C7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9</w:t>
      </w:r>
      <w:r>
        <w:rPr>
          <w:rFonts w:ascii="Times New Roman" w:hAnsi="Times New Roman"/>
          <w:sz w:val="24"/>
          <w:szCs w:val="24"/>
        </w:rPr>
        <w:t xml:space="preserve">  </w:t>
      </w:r>
      <w:r>
        <w:rPr>
          <w:rFonts w:hint="eastAsia" w:ascii="Times New Roman" w:hAnsi="Times New Roman"/>
          <w:sz w:val="24"/>
        </w:rPr>
        <w:t>锅炉存在严重事故隐患的，无改造维修价值或过户移装的，应及时向原登记的特种设备安全监督管理部门办理注销手续。</w:t>
      </w:r>
    </w:p>
    <w:p w14:paraId="35E627B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23" w:name="_Toc20201"/>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承压锅炉日常维护保养应符合下列规定：</w:t>
      </w:r>
      <w:bookmarkEnd w:id="123"/>
    </w:p>
    <w:p w14:paraId="1F41D7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每年应对锅炉及附属设备进行全面保养，应按规定更换油（气）喷嘴、保养和润滑电机、校验安全阀、温度计、水位表、压力表，检查水处理设备并添加树脂、设备管道补漆；对除氧器、冷凝水箱进行检修清洗；对锅炉内部进行检查，发现问题及时处理；</w:t>
      </w:r>
    </w:p>
    <w:p w14:paraId="231551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每季度应对防爆门及泄爆装置进行安检；对燃烧器、鼓风机风叶、烟管进行清理；对机械设备更换或添加润滑油；每季度应进行超压、超温保护试验，进行安全阀自动排气；对管路过滤器进行清洗，对安全连锁装置的安全性能进行试验；</w:t>
      </w:r>
    </w:p>
    <w:p w14:paraId="0295D1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锅炉安全附件及仪表应齐全，动作灵敏可靠，其中安全阀应经常启动排气；</w:t>
      </w:r>
    </w:p>
    <w:p w14:paraId="524663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安全阀应每年校验；压力表应每半年检定；水位表应每班冲洗校对；</w:t>
      </w:r>
    </w:p>
    <w:p w14:paraId="548E55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在额定的流量范围内，锅炉系统各设备应不得超压运行。蒸汽减压装置输出压力波动在20％之内；</w:t>
      </w:r>
    </w:p>
    <w:p w14:paraId="79F3EE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sz w:val="24"/>
        </w:rPr>
        <w:t>汽、水管道完好，阀件及仪表齐备，无跑、冒、滴、漏；</w:t>
      </w:r>
    </w:p>
    <w:p w14:paraId="060B09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sz w:val="24"/>
        </w:rPr>
        <w:t>锅炉启用前应进行试运行，停用后应做好停炉维护保养工作。</w:t>
      </w:r>
    </w:p>
    <w:p w14:paraId="5449E1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非承压锅炉的温度计和水位计应按规定进行保养和清洗，确保对锅炉参数计量准确。应定期检查锅炉顶部的敞口或大气连通管，保证锅炉始终与大气相通。非承压锅炉使用和维护可参照承压锅炉规定执行。</w:t>
      </w:r>
    </w:p>
    <w:p w14:paraId="0EE7C0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以天然气为燃料的锅炉,其天然气释放管或大气排放管不得直接通向大气,应通向贮存或处理装置。</w:t>
      </w:r>
    </w:p>
    <w:p w14:paraId="2E3B8E32">
      <w:pPr>
        <w:pStyle w:val="14"/>
        <w:rPr>
          <w:rFonts w:hint="eastAsia"/>
          <w:lang w:val="en-US" w:eastAsia="zh-CN"/>
        </w:rPr>
      </w:pPr>
      <w:bookmarkStart w:id="124" w:name="_Toc15441"/>
      <w:bookmarkStart w:id="125" w:name="_Toc1803"/>
      <w:r>
        <w:rPr>
          <w:rFonts w:hint="eastAsia"/>
          <w:lang w:val="en-US" w:eastAsia="zh-CN"/>
        </w:rPr>
        <w:t>6.7</w:t>
      </w:r>
      <w:r>
        <w:t xml:space="preserve">  </w:t>
      </w:r>
      <w:r>
        <w:rPr>
          <w:rFonts w:hint="eastAsia"/>
          <w:lang w:val="en-US" w:eastAsia="zh-CN"/>
        </w:rPr>
        <w:t>给排水系统</w:t>
      </w:r>
      <w:bookmarkEnd w:id="124"/>
      <w:bookmarkEnd w:id="125"/>
    </w:p>
    <w:p w14:paraId="5E8AF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每日应检查各类水泵、管道、阀门等，确保给排水系统通畅和设备运行正常，供水压力应符合要求，仪表指示准确，无跑、冒、滴、漏现象。</w:t>
      </w:r>
    </w:p>
    <w:p w14:paraId="2B3220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每季度应检查排水总管、污水坑、化粪池、排水沟渠（井），定期疏通清掏，使排水畅通无堵塞；定期对水泵、管道进行除锈刷漆；定期对污水处理系统全面维护保养。</w:t>
      </w:r>
    </w:p>
    <w:p w14:paraId="028242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每年应至少二次由专业清洁公司清洗消毒二次供水水箱、蓄水池，并取得《二次供水卫生许可证》；供水管理人员每年进行1次健康检查和卫生知识培训，应持《健康证》上岗。水质应送有关部门检验，水质检验报告应符合卫生标准并公示。</w:t>
      </w:r>
    </w:p>
    <w:p w14:paraId="0927AF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生活水箱（池）入口应封闭，加盖加锁，宜实行双人双锁管理，溢水管、泄水管、通气口应加金属网，室外的通气口应有防护设施。每年秋、冬季应对暴露水管采取防冻保护措施。</w:t>
      </w:r>
    </w:p>
    <w:p w14:paraId="3BC9D9CE">
      <w:pPr>
        <w:pStyle w:val="14"/>
        <w:rPr>
          <w:rFonts w:hint="eastAsia"/>
          <w:lang w:val="en-US" w:eastAsia="zh-CN"/>
        </w:rPr>
      </w:pPr>
      <w:bookmarkStart w:id="126" w:name="_Toc20947"/>
      <w:bookmarkStart w:id="127" w:name="_Toc29244"/>
      <w:r>
        <w:rPr>
          <w:rFonts w:hint="eastAsia"/>
          <w:lang w:val="en-US" w:eastAsia="zh-CN"/>
        </w:rPr>
        <w:t>6.8</w:t>
      </w:r>
      <w:r>
        <w:t xml:space="preserve">  </w:t>
      </w:r>
      <w:r>
        <w:rPr>
          <w:rFonts w:hint="eastAsia"/>
          <w:lang w:val="en-US" w:eastAsia="zh-CN"/>
        </w:rPr>
        <w:t>视频监控系统</w:t>
      </w:r>
      <w:bookmarkEnd w:id="126"/>
      <w:bookmarkEnd w:id="127"/>
    </w:p>
    <w:p w14:paraId="5D46722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28" w:name="_Toc29444"/>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摄像机应安装牢固、位置正确、工作正常、整洁。</w:t>
      </w:r>
      <w:bookmarkEnd w:id="128"/>
    </w:p>
    <w:p w14:paraId="4D5F01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视频记录设备应工作正常、整洁，监控视频记录应保持完整，保存时间应不少于30天。</w:t>
      </w:r>
    </w:p>
    <w:p w14:paraId="7D0CAB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监视器应工作正常、图像清晰、色彩良好、整洁。</w:t>
      </w:r>
    </w:p>
    <w:p w14:paraId="11EEA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矩阵应工作正常、线路整齐、标识清楚。</w:t>
      </w:r>
    </w:p>
    <w:p w14:paraId="5D8D578A">
      <w:pPr>
        <w:pStyle w:val="14"/>
        <w:rPr>
          <w:rFonts w:hint="eastAsia"/>
          <w:lang w:val="en-US" w:eastAsia="zh-CN"/>
        </w:rPr>
      </w:pPr>
      <w:bookmarkStart w:id="129" w:name="_Toc21532"/>
      <w:bookmarkStart w:id="130" w:name="_Toc29252"/>
      <w:r>
        <w:rPr>
          <w:rFonts w:hint="eastAsia"/>
          <w:lang w:val="en-US" w:eastAsia="zh-CN"/>
        </w:rPr>
        <w:t>6.9</w:t>
      </w:r>
      <w:r>
        <w:t xml:space="preserve">  </w:t>
      </w:r>
      <w:r>
        <w:rPr>
          <w:rFonts w:hint="eastAsia"/>
          <w:lang w:val="en-US" w:eastAsia="zh-CN"/>
        </w:rPr>
        <w:t>车库管理系统</w:t>
      </w:r>
      <w:bookmarkEnd w:id="129"/>
      <w:bookmarkEnd w:id="130"/>
    </w:p>
    <w:p w14:paraId="4D98CE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工作站、服务器、摄像机、收费站应工作正常、整洁；取票站、栅栏机应安装牢固、工作正常。</w:t>
      </w:r>
    </w:p>
    <w:p w14:paraId="1617E7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系统检查、检修保养应定期进行，保证系统正常运行。</w:t>
      </w:r>
    </w:p>
    <w:p w14:paraId="4218B0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建有立体停车设备的车库应设专业技术人员值守，并对设备使用人进行专业培训，按规定对设备进行年检、维保。</w:t>
      </w:r>
    </w:p>
    <w:p w14:paraId="75F560F3">
      <w:pPr>
        <w:pStyle w:val="14"/>
        <w:rPr>
          <w:rFonts w:hint="eastAsia"/>
          <w:lang w:val="en-US" w:eastAsia="zh-CN"/>
        </w:rPr>
      </w:pPr>
      <w:bookmarkStart w:id="131" w:name="_Toc20946"/>
      <w:bookmarkStart w:id="132" w:name="_Toc29744"/>
      <w:r>
        <w:rPr>
          <w:rFonts w:hint="eastAsia"/>
          <w:lang w:val="en-US" w:eastAsia="zh-CN"/>
        </w:rPr>
        <w:t>6.10</w:t>
      </w:r>
      <w:r>
        <w:t xml:space="preserve">  </w:t>
      </w:r>
      <w:r>
        <w:rPr>
          <w:rFonts w:hint="eastAsia"/>
          <w:lang w:val="en-US" w:eastAsia="zh-CN"/>
        </w:rPr>
        <w:t>广播、会议背景音响</w:t>
      </w:r>
      <w:bookmarkEnd w:id="131"/>
      <w:bookmarkEnd w:id="132"/>
    </w:p>
    <w:p w14:paraId="749F70E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33" w:name="_Toc8725"/>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音源设备、功放设备应工作正常，整洁完好。</w:t>
      </w:r>
      <w:bookmarkEnd w:id="133"/>
    </w:p>
    <w:p w14:paraId="0D7750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扬声器等末端设备应工作正常、整洁，音质保持清晰。</w:t>
      </w:r>
    </w:p>
    <w:p w14:paraId="3F304942">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34" w:name="_Toc9562"/>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背景音响与消防报警系统的连接切换应工作正常。</w:t>
      </w:r>
      <w:bookmarkEnd w:id="134"/>
    </w:p>
    <w:p w14:paraId="30BFA4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多媒体显示、数字音响、摄录像、同声翻译等设备应工作正常。</w:t>
      </w:r>
    </w:p>
    <w:p w14:paraId="103B97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视频、音频、网络线路应传输正常、无干扰。</w:t>
      </w:r>
    </w:p>
    <w:p w14:paraId="5BA38E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每半年应进行一次全面检查与调试。</w:t>
      </w:r>
    </w:p>
    <w:p w14:paraId="3AD4C814">
      <w:pPr>
        <w:pStyle w:val="14"/>
        <w:rPr>
          <w:rFonts w:hint="eastAsia"/>
          <w:lang w:val="en-US" w:eastAsia="zh-CN"/>
        </w:rPr>
      </w:pPr>
      <w:bookmarkStart w:id="135" w:name="_Toc15583"/>
      <w:bookmarkStart w:id="136" w:name="_Toc1458"/>
      <w:r>
        <w:rPr>
          <w:rFonts w:hint="eastAsia"/>
          <w:lang w:val="en-US" w:eastAsia="zh-CN"/>
        </w:rPr>
        <w:t>6.11</w:t>
      </w:r>
      <w:r>
        <w:t xml:space="preserve">  </w:t>
      </w:r>
      <w:r>
        <w:rPr>
          <w:rFonts w:hint="eastAsia"/>
          <w:lang w:val="en-US" w:eastAsia="zh-CN"/>
        </w:rPr>
        <w:t>对讲系统</w:t>
      </w:r>
      <w:bookmarkEnd w:id="135"/>
      <w:bookmarkEnd w:id="136"/>
    </w:p>
    <w:p w14:paraId="7A0811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基站线路应工作正常，整洁无损坏。</w:t>
      </w:r>
    </w:p>
    <w:p w14:paraId="1A4BBA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天线应工作正常，安装牢固。</w:t>
      </w:r>
    </w:p>
    <w:p w14:paraId="029A3E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按照规定办理无线电注册手续。</w:t>
      </w:r>
    </w:p>
    <w:p w14:paraId="6F12CD9C">
      <w:pPr>
        <w:pStyle w:val="14"/>
        <w:rPr>
          <w:rFonts w:hint="eastAsia"/>
          <w:lang w:val="en-US" w:eastAsia="zh-CN"/>
        </w:rPr>
      </w:pPr>
      <w:bookmarkStart w:id="137" w:name="_Toc29433"/>
      <w:bookmarkStart w:id="138" w:name="_Toc31174"/>
      <w:r>
        <w:rPr>
          <w:rFonts w:hint="eastAsia"/>
          <w:lang w:val="en-US" w:eastAsia="zh-CN"/>
        </w:rPr>
        <w:t>6.12</w:t>
      </w:r>
      <w:r>
        <w:t xml:space="preserve">  </w:t>
      </w:r>
      <w:r>
        <w:rPr>
          <w:rFonts w:hint="eastAsia"/>
          <w:lang w:val="en-US" w:eastAsia="zh-CN"/>
        </w:rPr>
        <w:t>避雷和接地系统</w:t>
      </w:r>
      <w:bookmarkEnd w:id="137"/>
      <w:bookmarkEnd w:id="138"/>
    </w:p>
    <w:p w14:paraId="15FF54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每年应委托专业检测机构检测避雷系统，检测结果应符合设计要求。</w:t>
      </w:r>
    </w:p>
    <w:p w14:paraId="158927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每半年应检查避雷带、避雷针、避雷线、避雷网等装置，有问题及时解决。</w:t>
      </w:r>
    </w:p>
    <w:p w14:paraId="67692A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每季度应检查强、弱电井、设备间的机电设备、配电柜接地装置；每月应检查变配电设备的接地装置、避雷器，保证所有机电设备、管道、金属构架物等接地良好。</w:t>
      </w:r>
    </w:p>
    <w:p w14:paraId="7220F54D">
      <w:pPr>
        <w:pStyle w:val="14"/>
        <w:rPr>
          <w:rFonts w:hint="eastAsia"/>
          <w:lang w:val="en-US" w:eastAsia="zh-CN"/>
        </w:rPr>
      </w:pPr>
      <w:bookmarkStart w:id="139" w:name="_Toc8352"/>
      <w:bookmarkStart w:id="140" w:name="_Toc16989"/>
      <w:r>
        <w:rPr>
          <w:rFonts w:hint="eastAsia"/>
          <w:lang w:val="en-US" w:eastAsia="zh-CN"/>
        </w:rPr>
        <w:t>6.13</w:t>
      </w:r>
      <w:r>
        <w:t xml:space="preserve">  </w:t>
      </w:r>
      <w:r>
        <w:rPr>
          <w:rFonts w:hint="eastAsia"/>
          <w:lang w:val="en-US" w:eastAsia="zh-CN"/>
        </w:rPr>
        <w:t>高空作业设备</w:t>
      </w:r>
      <w:bookmarkEnd w:id="139"/>
      <w:bookmarkEnd w:id="140"/>
    </w:p>
    <w:p w14:paraId="3C1041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设备应经有资质的检测机构检验合格，保证保护安全装置完好并在有效期内安全运行。</w:t>
      </w:r>
    </w:p>
    <w:p w14:paraId="1F2CB1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设备员应严格遵守安全规定，严格执行安全操作规程、严禁超载，作业前应进行安全技术交底。</w:t>
      </w:r>
    </w:p>
    <w:p w14:paraId="39D044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设备应严格执行作业前的机电系统安全检查与运行状态的确认。</w:t>
      </w:r>
    </w:p>
    <w:p w14:paraId="06698C12">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41" w:name="_Toc3492"/>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吊篮运行应平稳、无倾斜。</w:t>
      </w:r>
      <w:bookmarkEnd w:id="141"/>
    </w:p>
    <w:p w14:paraId="0F0AAB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设备各仪表指示准确，各类开关动作灵活，通讯设备正常。</w:t>
      </w:r>
    </w:p>
    <w:p w14:paraId="6464FE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在运行中，不得随意卸开装置的护罩、封门及其他任何装置。</w:t>
      </w:r>
    </w:p>
    <w:p w14:paraId="03FB39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设备使用完毕后，应切断电源，锁好操纵装置，并将悬挂装置按规定方法予以锁定。应有专业人员对设备运行进行管理、记录。</w:t>
      </w:r>
    </w:p>
    <w:p w14:paraId="7D77D9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应定期对设备系统进行检查及保养，对提升系统进行全面测试。清除灰尘、滴漏的液体以及可能打滑的其他物质因素。</w:t>
      </w:r>
    </w:p>
    <w:p w14:paraId="13714EDF">
      <w:pPr>
        <w:pStyle w:val="14"/>
        <w:rPr>
          <w:rFonts w:hint="eastAsia"/>
          <w:lang w:val="en-US" w:eastAsia="zh-CN"/>
        </w:rPr>
      </w:pPr>
      <w:bookmarkStart w:id="142" w:name="_Toc5082"/>
      <w:bookmarkStart w:id="143" w:name="_Toc18086"/>
      <w:r>
        <w:rPr>
          <w:rFonts w:hint="eastAsia"/>
          <w:lang w:val="en-US" w:eastAsia="zh-CN"/>
        </w:rPr>
        <w:t>6.14</w:t>
      </w:r>
      <w:r>
        <w:t xml:space="preserve">  </w:t>
      </w:r>
      <w:r>
        <w:rPr>
          <w:rFonts w:hint="eastAsia"/>
          <w:lang w:val="en-US" w:eastAsia="zh-CN"/>
        </w:rPr>
        <w:t>网络、通讯设备</w:t>
      </w:r>
      <w:bookmarkEnd w:id="142"/>
      <w:bookmarkEnd w:id="143"/>
    </w:p>
    <w:p w14:paraId="5F0F8D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通讯处理机、交换和调制解调器数据通讯应工作正常；维护终端工作正常、整洁。</w:t>
      </w:r>
    </w:p>
    <w:p w14:paraId="4D41C8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工作电源及UPS应工作正常，设备整洁，显示仪表无损。</w:t>
      </w:r>
    </w:p>
    <w:p w14:paraId="1F1098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配线架、光纤配架排线整齐，标识完好。</w:t>
      </w:r>
    </w:p>
    <w:p w14:paraId="71E90C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插座模块安装完好，线路畅通，表面整洁。</w:t>
      </w:r>
    </w:p>
    <w:p w14:paraId="16A398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应保障使用网络运行正常，发现故障应及时通知运营商进行维修，并做好记录。</w:t>
      </w:r>
    </w:p>
    <w:p w14:paraId="138AFF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做好机房防火、防霉、防潮、防雷击的安全保卫工作和清洁卫生工作，机房内设警示标识，温度应保持在25度左右，并定期做好安全检查，排除隐患，避免发生事故。</w:t>
      </w:r>
    </w:p>
    <w:p w14:paraId="166577A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44" w:name="_Toc902"/>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对关键的数据和信息做好备份工作。</w:t>
      </w:r>
      <w:bookmarkEnd w:id="144"/>
    </w:p>
    <w:p w14:paraId="5E0132B0">
      <w:pPr>
        <w:pStyle w:val="14"/>
        <w:rPr>
          <w:rFonts w:hint="eastAsia"/>
          <w:lang w:val="en-US" w:eastAsia="zh-CN"/>
        </w:rPr>
      </w:pPr>
      <w:bookmarkStart w:id="145" w:name="_Toc15948"/>
      <w:bookmarkStart w:id="146" w:name="_Toc22873"/>
      <w:r>
        <w:rPr>
          <w:rFonts w:hint="eastAsia"/>
          <w:lang w:val="en-US" w:eastAsia="zh-CN"/>
        </w:rPr>
        <w:t>6.15</w:t>
      </w:r>
      <w:r>
        <w:t xml:space="preserve">  </w:t>
      </w:r>
      <w:r>
        <w:rPr>
          <w:rFonts w:hint="eastAsia"/>
          <w:lang w:val="en-US" w:eastAsia="zh-CN"/>
        </w:rPr>
        <w:t>公共消防设施</w:t>
      </w:r>
      <w:bookmarkEnd w:id="145"/>
      <w:bookmarkEnd w:id="146"/>
    </w:p>
    <w:p w14:paraId="0FE37E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火灾报警控制器、联动控制设备应每日巡查，保证 24 小时连续正常运行；每月检查测试报警控制器、联动控制设备的报警、联动控制、显示、打印等功能；每年机柜内部应除尘。消防设施设置平面图，火警疏散示意图应设置在楼梯明显位置。</w:t>
      </w:r>
    </w:p>
    <w:p w14:paraId="6EF65C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控制屏开关应处于自动状态，火灾报警探测器、手动报警按钮、警报装置应每月抽查测试，探测器投入运行 2 年后，应每年由专业清洗单位清洗。</w:t>
      </w:r>
    </w:p>
    <w:p w14:paraId="3453FA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备用电源应每月检测切换，备用电源、蓄电池应每季度进行充放电试验。</w:t>
      </w:r>
    </w:p>
    <w:p w14:paraId="2A9C01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消防广播系统应每月检查测试，机柜内部及其设备内部应每年除尘。</w:t>
      </w:r>
    </w:p>
    <w:p w14:paraId="7BE151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防排烟系统应每月检查测试 1 次，防排烟风机、电源控制柜、风口、排烟阀等应每年养护。</w:t>
      </w:r>
    </w:p>
    <w:p w14:paraId="3E739D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防火分隔设施应每月抽查测试，防火卷帘门的电机转动、齿轮链条传动部位应每年补充润滑油，电控箱内部应每年除尘；防火门附件应每半年维修养护，并在门转动部位补充润滑油。</w:t>
      </w:r>
    </w:p>
    <w:p w14:paraId="7CD23A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水灭火系统消防泵、喷淋泵应每月盘车，每半年检查润滑情况；每年养护室内、外消火栓。</w:t>
      </w:r>
    </w:p>
    <w:p w14:paraId="0706DD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应急照明、疏散指示标识应每月测试，并测量照度、供电时间。</w:t>
      </w:r>
    </w:p>
    <w:p w14:paraId="362010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sz w:val="24"/>
        </w:rPr>
        <w:t xml:space="preserve">  </w:t>
      </w:r>
      <w:r>
        <w:rPr>
          <w:rFonts w:hint="eastAsia" w:ascii="Times New Roman" w:hAnsi="Times New Roman"/>
          <w:sz w:val="24"/>
        </w:rPr>
        <w:t>消防电梯应每月检查测试按钮迫降、联动控制功能和轿箱内消防电话。</w:t>
      </w:r>
    </w:p>
    <w:p w14:paraId="13BB56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sz w:val="24"/>
        </w:rPr>
        <w:t xml:space="preserve">  </w:t>
      </w:r>
      <w:r>
        <w:rPr>
          <w:rFonts w:hint="eastAsia" w:ascii="Times New Roman" w:hAnsi="Times New Roman"/>
          <w:sz w:val="24"/>
        </w:rPr>
        <w:t>灭火器应每日巡查，每月检查核对灭火器选型、压力和有效期，保证处于完好状态。</w:t>
      </w:r>
    </w:p>
    <w:p w14:paraId="55B573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sz w:val="24"/>
        </w:rPr>
        <w:t xml:space="preserve">  </w:t>
      </w:r>
      <w:r>
        <w:rPr>
          <w:rFonts w:hint="eastAsia" w:ascii="Times New Roman" w:hAnsi="Times New Roman"/>
          <w:sz w:val="24"/>
        </w:rPr>
        <w:t>室外消防栓、喷淋泵、水泵应做好冬季防冻保暖工作。</w:t>
      </w:r>
    </w:p>
    <w:p w14:paraId="653F03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620B0F9E">
      <w:pPr>
        <w:pStyle w:val="12"/>
        <w:numPr>
          <w:ilvl w:val="0"/>
          <w:numId w:val="0"/>
        </w:numPr>
        <w:rPr>
          <w:rFonts w:hint="eastAsia"/>
          <w:lang w:val="en-US" w:eastAsia="zh-CN"/>
        </w:rPr>
      </w:pPr>
      <w:bookmarkStart w:id="147" w:name="_Toc7645"/>
      <w:bookmarkStart w:id="148" w:name="_Toc32393"/>
      <w:r>
        <w:rPr>
          <w:rFonts w:hint="eastAsia"/>
          <w:lang w:val="en-US" w:eastAsia="zh-CN"/>
        </w:rPr>
        <w:t>7</w:t>
      </w:r>
      <w:r>
        <w:t xml:space="preserve">  </w:t>
      </w:r>
      <w:r>
        <w:rPr>
          <w:rFonts w:hint="eastAsia"/>
          <w:lang w:val="en-US" w:eastAsia="zh-CN"/>
        </w:rPr>
        <w:t>公共秩序维护</w:t>
      </w:r>
      <w:bookmarkEnd w:id="147"/>
      <w:bookmarkEnd w:id="148"/>
    </w:p>
    <w:p w14:paraId="1B51BF01">
      <w:pPr>
        <w:pStyle w:val="14"/>
        <w:rPr>
          <w:rFonts w:hint="eastAsia"/>
          <w:lang w:val="en-US" w:eastAsia="zh-CN"/>
        </w:rPr>
      </w:pPr>
      <w:bookmarkStart w:id="149" w:name="_Toc596"/>
      <w:bookmarkStart w:id="150" w:name="_Toc31145"/>
      <w:r>
        <w:rPr>
          <w:rFonts w:hint="eastAsia"/>
          <w:lang w:val="en-US" w:eastAsia="zh-CN"/>
        </w:rPr>
        <w:t>7.1</w:t>
      </w:r>
      <w:r>
        <w:t xml:space="preserve">  </w:t>
      </w:r>
      <w:r>
        <w:rPr>
          <w:rFonts w:hint="eastAsia"/>
          <w:lang w:val="en-US" w:eastAsia="zh-CN"/>
        </w:rPr>
        <w:t>人员要求</w:t>
      </w:r>
      <w:bookmarkEnd w:id="149"/>
      <w:bookmarkEnd w:id="150"/>
    </w:p>
    <w:p w14:paraId="6F4CE9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应设有专职公共秩序维护人员，应具有较强的责任心、身体健康，并定期接受相关专业知识与技能培训。</w:t>
      </w:r>
    </w:p>
    <w:p w14:paraId="52179A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应能够处置和应对写字楼公共秩序维护工作，能正确使用写字楼内设置的各类消防、物防、技防器械和设备，并配备对讲装置。</w:t>
      </w:r>
    </w:p>
    <w:p w14:paraId="073E479D">
      <w:pPr>
        <w:pStyle w:val="14"/>
        <w:rPr>
          <w:rFonts w:hint="eastAsia"/>
          <w:lang w:val="en-US" w:eastAsia="zh-CN"/>
        </w:rPr>
      </w:pPr>
      <w:bookmarkStart w:id="151" w:name="_Toc19635"/>
      <w:bookmarkStart w:id="152" w:name="_Toc9953"/>
      <w:r>
        <w:rPr>
          <w:rFonts w:hint="eastAsia"/>
          <w:lang w:val="en-US" w:eastAsia="zh-CN"/>
        </w:rPr>
        <w:t>7.2</w:t>
      </w:r>
      <w:r>
        <w:t xml:space="preserve">  </w:t>
      </w:r>
      <w:r>
        <w:rPr>
          <w:rFonts w:hint="eastAsia"/>
          <w:lang w:val="en-US" w:eastAsia="zh-CN"/>
        </w:rPr>
        <w:t>出入管理</w:t>
      </w:r>
      <w:bookmarkEnd w:id="151"/>
      <w:bookmarkEnd w:id="152"/>
    </w:p>
    <w:p w14:paraId="5F0EE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应按照物业管理合同的约定，合理配置主出入口。</w:t>
      </w:r>
    </w:p>
    <w:p w14:paraId="2E6CCF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人员出入管理应视实际情况确定，可分别采用末端管理和前段管理。</w:t>
      </w:r>
    </w:p>
    <w:p w14:paraId="5C509D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主出入口应实行24小时值班。</w:t>
      </w:r>
    </w:p>
    <w:p w14:paraId="71428A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对来访人员热情接待，必要时引导至指定区域。劝阻可疑人员进入，劝阻无效及时报告公安机关及相关部门。</w:t>
      </w:r>
    </w:p>
    <w:p w14:paraId="321748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应根据实际情况，确定车辆行驶路线，对进出车辆进行有效疏导，保证出入口畅通。</w:t>
      </w:r>
    </w:p>
    <w:p w14:paraId="6782D3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对外来车辆出入应做好登记，外拉物品实行出入登记管理，记录保存时间不少于一年。</w:t>
      </w:r>
    </w:p>
    <w:p w14:paraId="4C1900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保证出入口的安全通畅。</w:t>
      </w:r>
    </w:p>
    <w:p w14:paraId="0747AF1E">
      <w:pPr>
        <w:pStyle w:val="14"/>
        <w:rPr>
          <w:rFonts w:hint="eastAsia"/>
          <w:lang w:val="en-US" w:eastAsia="zh-CN"/>
        </w:rPr>
      </w:pPr>
      <w:bookmarkStart w:id="153" w:name="_Toc14585"/>
      <w:bookmarkStart w:id="154" w:name="_Toc28958"/>
      <w:r>
        <w:rPr>
          <w:rFonts w:hint="eastAsia"/>
          <w:lang w:val="en-US" w:eastAsia="zh-CN"/>
        </w:rPr>
        <w:t>7.3</w:t>
      </w:r>
      <w:r>
        <w:t xml:space="preserve">  </w:t>
      </w:r>
      <w:r>
        <w:rPr>
          <w:rFonts w:hint="eastAsia"/>
          <w:lang w:val="en-US" w:eastAsia="zh-CN"/>
        </w:rPr>
        <w:t>安全监控</w:t>
      </w:r>
      <w:bookmarkEnd w:id="153"/>
      <w:bookmarkEnd w:id="154"/>
    </w:p>
    <w:p w14:paraId="1615F5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监控室应实行专人24小时值班，确保监控室内电话畅通，接听及时。</w:t>
      </w:r>
    </w:p>
    <w:p w14:paraId="4CFFD0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监控设施齐全，保证对出入口、内部重点区域的安全监控、录像及协助布警。</w:t>
      </w:r>
    </w:p>
    <w:p w14:paraId="6E6E9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监控室收到火情、险情及其他异常的情况报警信号后，应核实情况后视情况报警处理，并安排相关人员及时赶到现场进行前期处理。</w:t>
      </w:r>
    </w:p>
    <w:p w14:paraId="0CAF30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设立监控资料调用、查阅权限，调用、查阅需经授权。</w:t>
      </w:r>
    </w:p>
    <w:p w14:paraId="00418155">
      <w:pPr>
        <w:pStyle w:val="14"/>
        <w:rPr>
          <w:rFonts w:hint="eastAsia"/>
          <w:lang w:val="en-US" w:eastAsia="zh-CN"/>
        </w:rPr>
      </w:pPr>
      <w:bookmarkStart w:id="155" w:name="_Toc14825"/>
      <w:bookmarkStart w:id="156" w:name="_Toc21414"/>
      <w:r>
        <w:rPr>
          <w:rFonts w:hint="eastAsia"/>
          <w:lang w:val="en-US" w:eastAsia="zh-CN"/>
        </w:rPr>
        <w:t>7.4</w:t>
      </w:r>
      <w:r>
        <w:t xml:space="preserve">  </w:t>
      </w:r>
      <w:r>
        <w:rPr>
          <w:rFonts w:hint="eastAsia"/>
          <w:lang w:val="en-US" w:eastAsia="zh-CN"/>
        </w:rPr>
        <w:t>巡查</w:t>
      </w:r>
      <w:bookmarkEnd w:id="155"/>
      <w:bookmarkEnd w:id="156"/>
    </w:p>
    <w:p w14:paraId="04840F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应根据实际确定巡查路线、定期对巡查路线进行安全评估。</w:t>
      </w:r>
    </w:p>
    <w:p w14:paraId="2D5FA3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每日应按时对服务区域进行安全巡查，巡查中应排除各种不安全因素，发现违法、违章行为及时劝阻，发现疑点应追查原因，同时通知有关部门，并做好巡查记录。</w:t>
      </w:r>
    </w:p>
    <w:p w14:paraId="4D557F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重点区域、重点部位、重点设备机房至少每3小时巡查1次，并做好记录。</w:t>
      </w:r>
    </w:p>
    <w:p w14:paraId="7C4B81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巡查过程中应通过巡更设备和监控室保持联动，收到监控室发出的指令后，巡查人员应及时到达现场，并采取相应措施。</w:t>
      </w:r>
    </w:p>
    <w:p w14:paraId="4241AD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巡查中发现写字楼内涉及公共安全的设施设备发生缺失、损坏或不能正常使用等情况，应及时报告并记录。</w:t>
      </w:r>
    </w:p>
    <w:p w14:paraId="33D1D7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巡查中注意异常声响、气味，如有可疑现象，应立即查明并上报，对紧急情况应采取必要的处理措施。</w:t>
      </w:r>
    </w:p>
    <w:p w14:paraId="039A460D">
      <w:pPr>
        <w:pStyle w:val="14"/>
        <w:rPr>
          <w:rFonts w:hint="eastAsia"/>
          <w:lang w:val="en-US" w:eastAsia="zh-CN"/>
        </w:rPr>
      </w:pPr>
      <w:bookmarkStart w:id="157" w:name="_Toc17412"/>
      <w:bookmarkStart w:id="158" w:name="_Toc28033"/>
      <w:r>
        <w:rPr>
          <w:rFonts w:hint="eastAsia"/>
          <w:lang w:val="en-US" w:eastAsia="zh-CN"/>
        </w:rPr>
        <w:t>7.5</w:t>
      </w:r>
      <w:r>
        <w:t xml:space="preserve">  </w:t>
      </w:r>
      <w:r>
        <w:rPr>
          <w:rFonts w:hint="eastAsia"/>
          <w:lang w:val="en-US" w:eastAsia="zh-CN"/>
        </w:rPr>
        <w:t>车辆管理</w:t>
      </w:r>
      <w:bookmarkEnd w:id="157"/>
      <w:bookmarkEnd w:id="158"/>
    </w:p>
    <w:p w14:paraId="685F9C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根据实际情况设置相关标识标志，规范车辆行驶路线，引导车辆有序停放。</w:t>
      </w:r>
    </w:p>
    <w:p w14:paraId="49EC1E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车库内应设监控装置、照明装置、消防设施、门禁、车辆限速、限高及指示标识。</w:t>
      </w:r>
    </w:p>
    <w:p w14:paraId="302B7C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经营性停车场应办理收费备案审批，公示收费标准，提供正规票据，实行专人管理，保证车辆停放有序，停车场定时清洁，无易燃易爆等危险物品存放。</w:t>
      </w:r>
    </w:p>
    <w:p w14:paraId="2A567F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停车场应规划建设电动车、新能源车辆集中停放的区域，应配置充电桩，并引导客户安全充电。</w:t>
      </w:r>
    </w:p>
    <w:p w14:paraId="5269B8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地面、墙面按车辆道路行驶要求设立明显指示牌、照明、消防器械配置齐全。</w:t>
      </w:r>
    </w:p>
    <w:p w14:paraId="1C7CB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非机动车应定点存放，整齐有序。电动车不应随意在公共区域内停放充电。</w:t>
      </w:r>
    </w:p>
    <w:p w14:paraId="62465BD7">
      <w:pPr>
        <w:pStyle w:val="14"/>
        <w:rPr>
          <w:rFonts w:hint="eastAsia"/>
          <w:lang w:val="en-US" w:eastAsia="zh-CN"/>
        </w:rPr>
      </w:pPr>
      <w:bookmarkStart w:id="159" w:name="_Toc9313"/>
      <w:bookmarkStart w:id="160" w:name="_Toc3085"/>
      <w:r>
        <w:rPr>
          <w:rFonts w:hint="eastAsia"/>
          <w:lang w:val="en-US" w:eastAsia="zh-CN"/>
        </w:rPr>
        <w:t>7.6</w:t>
      </w:r>
      <w:r>
        <w:t xml:space="preserve">  </w:t>
      </w:r>
      <w:r>
        <w:rPr>
          <w:rFonts w:hint="eastAsia"/>
          <w:lang w:val="en-US" w:eastAsia="zh-CN"/>
        </w:rPr>
        <w:t>突发事件处理</w:t>
      </w:r>
      <w:bookmarkEnd w:id="159"/>
      <w:bookmarkEnd w:id="160"/>
    </w:p>
    <w:p w14:paraId="4A98B9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突发公共事件发生后应及时告知客户，并立即启动应急预案，明确应急事件处理责任人，全力协助有关部门，做好现场维护、人员输送、协助调查等工作，尽可能将损失与危害降到最低；并按规定及时上报。</w:t>
      </w:r>
    </w:p>
    <w:p w14:paraId="69DCA9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定期对相关工作人员进行突发公共事件情况处理培训；每年至少组织一次各类应急预案演习。做到事前有演习方案，时候有总结报告。</w:t>
      </w:r>
    </w:p>
    <w:p w14:paraId="5DF919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402D7E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3FA0C9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28371B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25CF2A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792589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447A86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4A1DB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516757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51BD6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2ABE1D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48EF66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7A258C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307F42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6D7720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39A0A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09D81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3AD780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0C1625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1C5B96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7AB0A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739BFE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6C9890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2D12EB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498B7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2E464A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4A0EAE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1FACC0A7">
      <w:pPr>
        <w:pStyle w:val="12"/>
        <w:numPr>
          <w:ilvl w:val="0"/>
          <w:numId w:val="0"/>
        </w:numPr>
        <w:rPr>
          <w:rFonts w:hint="eastAsia"/>
          <w:lang w:val="en-US" w:eastAsia="zh-CN"/>
        </w:rPr>
      </w:pPr>
      <w:bookmarkStart w:id="161" w:name="_Toc6853"/>
      <w:bookmarkStart w:id="162" w:name="_Toc22250"/>
      <w:r>
        <w:rPr>
          <w:rFonts w:hint="eastAsia"/>
          <w:lang w:val="en-US" w:eastAsia="zh-CN"/>
        </w:rPr>
        <w:t>8</w:t>
      </w:r>
      <w:r>
        <w:t xml:space="preserve">  </w:t>
      </w:r>
      <w:r>
        <w:rPr>
          <w:rFonts w:hint="eastAsia"/>
          <w:lang w:val="en-US" w:eastAsia="zh-CN"/>
        </w:rPr>
        <w:t>环境卫生</w:t>
      </w:r>
      <w:bookmarkEnd w:id="161"/>
      <w:bookmarkEnd w:id="162"/>
    </w:p>
    <w:p w14:paraId="55E7A270">
      <w:pPr>
        <w:pStyle w:val="14"/>
        <w:rPr>
          <w:rFonts w:hint="eastAsia"/>
          <w:lang w:val="en-US" w:eastAsia="zh-CN"/>
        </w:rPr>
      </w:pPr>
      <w:bookmarkStart w:id="163" w:name="_Toc5474"/>
      <w:bookmarkStart w:id="164" w:name="_Toc25464"/>
      <w:r>
        <w:rPr>
          <w:rFonts w:hint="eastAsia"/>
          <w:lang w:val="en-US" w:eastAsia="zh-CN"/>
        </w:rPr>
        <w:t>8.1</w:t>
      </w:r>
      <w:r>
        <w:t xml:space="preserve">  </w:t>
      </w:r>
      <w:r>
        <w:rPr>
          <w:rFonts w:hint="eastAsia"/>
          <w:lang w:val="en-US" w:eastAsia="zh-CN"/>
        </w:rPr>
        <w:t>一般规定</w:t>
      </w:r>
      <w:bookmarkEnd w:id="163"/>
      <w:bookmarkEnd w:id="164"/>
    </w:p>
    <w:p w14:paraId="0150D9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应认真执行保洁制度，落实保洁岗位责任制，保洁服务工作应做好记录。</w:t>
      </w:r>
    </w:p>
    <w:p w14:paraId="63D7B1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应根据实际需要合理配置相关清洁设备。</w:t>
      </w:r>
    </w:p>
    <w:p w14:paraId="180F75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应配置专职保洁服务人员，明确保洁责任范围，保洁服务实行定时定点和流动保洁相结合，保持物业服务区域整洁、干净。</w:t>
      </w:r>
    </w:p>
    <w:p w14:paraId="0E3B24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根据物业服务合同的约定，制定日常清洁范围、周期和频次。</w:t>
      </w:r>
    </w:p>
    <w:p w14:paraId="01B7E8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雨雪天气应采取防滑措施，特殊部位保洁要做好安全防护。</w:t>
      </w:r>
    </w:p>
    <w:p w14:paraId="15D7C6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应结合写字楼的不同部位、不同材质进行专项清洁管理。</w:t>
      </w:r>
    </w:p>
    <w:p w14:paraId="32AB5D58">
      <w:pPr>
        <w:pStyle w:val="14"/>
        <w:rPr>
          <w:rFonts w:hint="eastAsia"/>
          <w:lang w:val="en-US" w:eastAsia="zh-CN"/>
        </w:rPr>
      </w:pPr>
      <w:bookmarkStart w:id="165" w:name="_Toc9460"/>
      <w:bookmarkStart w:id="166" w:name="_Toc20220"/>
      <w:r>
        <w:rPr>
          <w:rFonts w:hint="eastAsia"/>
          <w:lang w:val="en-US" w:eastAsia="zh-CN"/>
        </w:rPr>
        <w:t>8.2</w:t>
      </w:r>
      <w:r>
        <w:t xml:space="preserve">  </w:t>
      </w:r>
      <w:r>
        <w:rPr>
          <w:rFonts w:hint="eastAsia"/>
          <w:lang w:val="en-US" w:eastAsia="zh-CN"/>
        </w:rPr>
        <w:t>楼内保洁</w:t>
      </w:r>
      <w:bookmarkEnd w:id="165"/>
      <w:bookmarkEnd w:id="166"/>
    </w:p>
    <w:p w14:paraId="3389E2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大厅、电梯厅、楼梯、公共通道地面应每日清扫，不定期巡视，保持地面干净、无垃圾、无杂物、无污迹，保持地面材质原貌；进出口地垫摆放整齐，表面干净无杂物；盆栽植物无积尘。</w:t>
      </w:r>
    </w:p>
    <w:p w14:paraId="73F2B3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大厅门窗玻璃、窗框、窗台、楼梯扶手、栏杆等应每日擦拭，保持干净，无污渍。</w:t>
      </w:r>
    </w:p>
    <w:p w14:paraId="257A08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楼内墙面应每月清洁，保持墙面目视无污渍。</w:t>
      </w:r>
    </w:p>
    <w:p w14:paraId="72F5B4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公共卫生间应每日清洁，保持整体洁净，无异味。台面、镜面无明显水迹；小便斗、座便器无黄渍、无尿碱；水龙头干净无明显污渍；天花板、灯具、墙角无积尘、无蜘蛛网。应每半月对隔断门、洗手池、水龙头进行消毒。</w:t>
      </w:r>
    </w:p>
    <w:p w14:paraId="79D8D1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开水间应每日清洁，保持整体洁净干燥，无异味。</w:t>
      </w:r>
    </w:p>
    <w:p w14:paraId="76FDA5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接待室和会议室应每日清洁，家具、物品摆放整齐有序，目视洁净。</w:t>
      </w:r>
    </w:p>
    <w:p w14:paraId="5198B7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电梯轿厢应每日清洁，保持地面干净，无垃圾杂物；四壁洁净。</w:t>
      </w:r>
    </w:p>
    <w:p w14:paraId="38D119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照明设施应至少每半年清洁一次，保持灯箱、灯罩外壳无破损、无积尘、无污迹，灯罩内无死蚊、蝇、虫。</w:t>
      </w:r>
    </w:p>
    <w:p w14:paraId="64436C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sz w:val="24"/>
        </w:rPr>
        <w:t xml:space="preserve">  </w:t>
      </w:r>
      <w:r>
        <w:rPr>
          <w:rFonts w:hint="eastAsia" w:ascii="Times New Roman" w:hAnsi="Times New Roman"/>
          <w:sz w:val="24"/>
        </w:rPr>
        <w:t>消防设施应定期清洁，保持消防栓、消防箱、报警器、火警通讯、电话插座、灭火器、喷淋盖、烟感器、扬声器等表面无积尘、无污渍。</w:t>
      </w:r>
    </w:p>
    <w:p w14:paraId="47179E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sz w:val="24"/>
        </w:rPr>
        <w:t xml:space="preserve">  </w:t>
      </w:r>
      <w:r>
        <w:rPr>
          <w:rFonts w:hint="eastAsia" w:ascii="Times New Roman" w:hAnsi="Times New Roman"/>
          <w:sz w:val="24"/>
        </w:rPr>
        <w:t>指引标识牌、公告栏应每日清洁，保持表面无积尘、无污渍。</w:t>
      </w:r>
    </w:p>
    <w:p w14:paraId="6F7565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sz w:val="24"/>
        </w:rPr>
        <w:t xml:space="preserve">  </w:t>
      </w:r>
      <w:r>
        <w:rPr>
          <w:rFonts w:hint="eastAsia" w:ascii="Times New Roman" w:hAnsi="Times New Roman"/>
          <w:sz w:val="24"/>
        </w:rPr>
        <w:t>烟灰缸、果皮箱应每日清洁，箱内无满溢、无异味、无污迹。</w:t>
      </w:r>
    </w:p>
    <w:p w14:paraId="6AE6CC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12</w:t>
      </w:r>
      <w:r>
        <w:rPr>
          <w:rFonts w:ascii="Times New Roman" w:hAnsi="Times New Roman"/>
          <w:sz w:val="24"/>
        </w:rPr>
        <w:t xml:space="preserve">  </w:t>
      </w:r>
      <w:r>
        <w:rPr>
          <w:rFonts w:hint="eastAsia" w:ascii="Times New Roman" w:hAnsi="Times New Roman"/>
          <w:sz w:val="24"/>
        </w:rPr>
        <w:t>空调风口、排风扇定期清洁，保持表面无灰尘、无污渍。</w:t>
      </w:r>
    </w:p>
    <w:p w14:paraId="6E1F92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sz w:val="24"/>
        </w:rPr>
        <w:t xml:space="preserve">  </w:t>
      </w:r>
      <w:r>
        <w:rPr>
          <w:rFonts w:hint="eastAsia" w:ascii="Times New Roman" w:hAnsi="Times New Roman"/>
          <w:sz w:val="24"/>
        </w:rPr>
        <w:t>监控设施无灰尘、无蜘蛛网。</w:t>
      </w:r>
    </w:p>
    <w:p w14:paraId="68B797C8">
      <w:pPr>
        <w:pStyle w:val="14"/>
        <w:rPr>
          <w:rFonts w:hint="eastAsia"/>
          <w:lang w:val="en-US" w:eastAsia="zh-CN"/>
        </w:rPr>
      </w:pPr>
      <w:bookmarkStart w:id="167" w:name="_Toc3845"/>
      <w:bookmarkStart w:id="168" w:name="_Toc28092"/>
      <w:r>
        <w:rPr>
          <w:rFonts w:hint="eastAsia"/>
          <w:lang w:val="en-US" w:eastAsia="zh-CN"/>
        </w:rPr>
        <w:t>8.3</w:t>
      </w:r>
      <w:r>
        <w:t xml:space="preserve">  </w:t>
      </w:r>
      <w:r>
        <w:rPr>
          <w:rFonts w:hint="eastAsia"/>
          <w:lang w:val="en-US" w:eastAsia="zh-CN"/>
        </w:rPr>
        <w:t>楼外保洁</w:t>
      </w:r>
      <w:bookmarkEnd w:id="167"/>
      <w:bookmarkEnd w:id="168"/>
    </w:p>
    <w:p w14:paraId="73D8DE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外墙应保持目视洁净，无污垢。</w:t>
      </w:r>
    </w:p>
    <w:p w14:paraId="022361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地下车库应每日清洁，保持地面无垃圾杂物、无积水，墙面无污渍；标识、指示牌、指示灯、消防箱、防火门等公共设施应干净、无积尘。</w:t>
      </w:r>
    </w:p>
    <w:p w14:paraId="0B7990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广场地面干净；明沟无杂物，无积水；外围道路应每日清扫，保持地面干净无杂物、无积灰、无积水、无明显污迹；沟、渠、井无满溢、无杂物、无异味；各类告示牌、照明灯具、栏杆、立柱、反光镜等表面无积灰、无污垢；写字楼各进出口台阶地面、地垫无污渍。</w:t>
      </w:r>
    </w:p>
    <w:p w14:paraId="4D46CB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绿化带卫生应每日清理，保持无杂物，花台表面干净无污渍。</w:t>
      </w:r>
    </w:p>
    <w:p w14:paraId="636806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水池应每日清捞，池内无漂浮物，池壁无青苔等污垢，整体无异味。</w:t>
      </w:r>
    </w:p>
    <w:p w14:paraId="685CC4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平台屋面应每周清理，保持无垃圾堆积。</w:t>
      </w:r>
    </w:p>
    <w:p w14:paraId="0DA6D9EF">
      <w:pPr>
        <w:pStyle w:val="14"/>
        <w:rPr>
          <w:rFonts w:hint="eastAsia"/>
          <w:lang w:val="en-US" w:eastAsia="zh-CN"/>
        </w:rPr>
      </w:pPr>
      <w:bookmarkStart w:id="169" w:name="_Toc25499"/>
      <w:bookmarkStart w:id="170" w:name="_Toc3291"/>
      <w:r>
        <w:rPr>
          <w:rFonts w:hint="eastAsia"/>
          <w:lang w:val="en-US" w:eastAsia="zh-CN"/>
        </w:rPr>
        <w:t>8.4</w:t>
      </w:r>
      <w:r>
        <w:t xml:space="preserve">  </w:t>
      </w:r>
      <w:r>
        <w:rPr>
          <w:rFonts w:hint="eastAsia"/>
          <w:lang w:val="en-US" w:eastAsia="zh-CN"/>
        </w:rPr>
        <w:t>垃圾收集与处理</w:t>
      </w:r>
      <w:bookmarkEnd w:id="169"/>
      <w:bookmarkEnd w:id="170"/>
    </w:p>
    <w:p w14:paraId="48BFC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垃圾房应每日清洁，保持整体干净干燥、无臭味；垃圾桶封闭良好，无满溢、无积灰。</w:t>
      </w:r>
    </w:p>
    <w:p w14:paraId="5D82AB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生活垃圾应按垃圾分类进行收集和管理，日产日清；装修垃圾应有专人负责及时清运。</w:t>
      </w:r>
    </w:p>
    <w:p w14:paraId="1F2F2F27">
      <w:pPr>
        <w:pStyle w:val="14"/>
        <w:rPr>
          <w:rFonts w:hint="eastAsia"/>
          <w:lang w:val="en-US" w:eastAsia="zh-CN"/>
        </w:rPr>
      </w:pPr>
      <w:bookmarkStart w:id="171" w:name="_Toc11595"/>
      <w:bookmarkStart w:id="172" w:name="_Toc18556"/>
      <w:r>
        <w:rPr>
          <w:rFonts w:hint="eastAsia"/>
          <w:lang w:val="en-US" w:eastAsia="zh-CN"/>
        </w:rPr>
        <w:t>8.5</w:t>
      </w:r>
      <w:r>
        <w:t xml:space="preserve">  </w:t>
      </w:r>
      <w:r>
        <w:rPr>
          <w:rFonts w:hint="eastAsia"/>
          <w:lang w:val="en-US" w:eastAsia="zh-CN"/>
        </w:rPr>
        <w:t>消杀管理</w:t>
      </w:r>
      <w:bookmarkEnd w:id="171"/>
      <w:bookmarkEnd w:id="172"/>
    </w:p>
    <w:p w14:paraId="5A2B8A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根据当地情况适时开展卫生消杀活动，配合卫生防疫部门做好突发性传染病防治工作。</w:t>
      </w:r>
    </w:p>
    <w:p w14:paraId="262916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消杀工作应在尽量不影响客户工作的前提下进行；消杀使用的药剂应是卫生部门发放或者使用低毒高效，且符合国家、行业标准要求的，在消杀过程中应做好个人防护。</w:t>
      </w:r>
    </w:p>
    <w:p w14:paraId="03D50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灭鼠、灭蟑的毒饵、药剂应妥善保管，施放期应告知客户；施放、回收应有记录。</w:t>
      </w:r>
    </w:p>
    <w:p w14:paraId="69EE8E87">
      <w:pPr>
        <w:pStyle w:val="12"/>
        <w:numPr>
          <w:ilvl w:val="0"/>
          <w:numId w:val="0"/>
        </w:numPr>
        <w:outlineLvl w:val="9"/>
        <w:rPr>
          <w:rFonts w:hint="eastAsia"/>
          <w:lang w:val="en-US" w:eastAsia="zh-CN"/>
        </w:rPr>
      </w:pPr>
      <w:bookmarkStart w:id="173" w:name="_Toc14978"/>
    </w:p>
    <w:p w14:paraId="1C1A8F74">
      <w:pPr>
        <w:pStyle w:val="12"/>
        <w:numPr>
          <w:ilvl w:val="0"/>
          <w:numId w:val="0"/>
        </w:numPr>
        <w:outlineLvl w:val="9"/>
        <w:rPr>
          <w:rFonts w:hint="eastAsia"/>
          <w:lang w:val="en-US" w:eastAsia="zh-CN"/>
        </w:rPr>
      </w:pPr>
    </w:p>
    <w:p w14:paraId="782A2DCB">
      <w:pPr>
        <w:pStyle w:val="12"/>
        <w:numPr>
          <w:ilvl w:val="0"/>
          <w:numId w:val="0"/>
        </w:numPr>
        <w:outlineLvl w:val="9"/>
        <w:rPr>
          <w:rFonts w:hint="eastAsia"/>
          <w:lang w:val="en-US" w:eastAsia="zh-CN"/>
        </w:rPr>
      </w:pPr>
    </w:p>
    <w:p w14:paraId="216DE700">
      <w:pPr>
        <w:pStyle w:val="12"/>
        <w:numPr>
          <w:ilvl w:val="0"/>
          <w:numId w:val="0"/>
        </w:numPr>
        <w:outlineLvl w:val="9"/>
        <w:rPr>
          <w:rFonts w:hint="eastAsia"/>
          <w:lang w:val="en-US" w:eastAsia="zh-CN"/>
        </w:rPr>
      </w:pPr>
    </w:p>
    <w:p w14:paraId="52099F2D">
      <w:pPr>
        <w:pStyle w:val="12"/>
        <w:numPr>
          <w:ilvl w:val="0"/>
          <w:numId w:val="0"/>
        </w:numPr>
        <w:outlineLvl w:val="9"/>
        <w:rPr>
          <w:rFonts w:hint="eastAsia"/>
          <w:lang w:val="en-US" w:eastAsia="zh-CN"/>
        </w:rPr>
      </w:pPr>
    </w:p>
    <w:p w14:paraId="6B8CCB92">
      <w:pPr>
        <w:pStyle w:val="12"/>
        <w:numPr>
          <w:ilvl w:val="0"/>
          <w:numId w:val="0"/>
        </w:numPr>
        <w:outlineLvl w:val="9"/>
        <w:rPr>
          <w:rFonts w:hint="eastAsia"/>
          <w:lang w:val="en-US" w:eastAsia="zh-CN"/>
        </w:rPr>
      </w:pPr>
    </w:p>
    <w:p w14:paraId="29343E47">
      <w:pPr>
        <w:pStyle w:val="12"/>
        <w:numPr>
          <w:ilvl w:val="0"/>
          <w:numId w:val="0"/>
        </w:numPr>
        <w:outlineLvl w:val="9"/>
        <w:rPr>
          <w:rFonts w:hint="eastAsia"/>
          <w:lang w:val="en-US" w:eastAsia="zh-CN"/>
        </w:rPr>
      </w:pPr>
    </w:p>
    <w:p w14:paraId="2D74120E">
      <w:pPr>
        <w:pStyle w:val="12"/>
        <w:numPr>
          <w:ilvl w:val="0"/>
          <w:numId w:val="0"/>
        </w:numPr>
        <w:outlineLvl w:val="9"/>
        <w:rPr>
          <w:rFonts w:hint="eastAsia"/>
          <w:lang w:val="en-US" w:eastAsia="zh-CN"/>
        </w:rPr>
      </w:pPr>
    </w:p>
    <w:p w14:paraId="12FC4445">
      <w:pPr>
        <w:pStyle w:val="12"/>
        <w:numPr>
          <w:ilvl w:val="0"/>
          <w:numId w:val="0"/>
        </w:numPr>
        <w:outlineLvl w:val="9"/>
        <w:rPr>
          <w:rFonts w:hint="eastAsia"/>
          <w:lang w:val="en-US" w:eastAsia="zh-CN"/>
        </w:rPr>
      </w:pPr>
    </w:p>
    <w:p w14:paraId="211B6B14">
      <w:pPr>
        <w:pStyle w:val="12"/>
        <w:numPr>
          <w:ilvl w:val="0"/>
          <w:numId w:val="0"/>
        </w:numPr>
        <w:outlineLvl w:val="9"/>
        <w:rPr>
          <w:rFonts w:hint="eastAsia"/>
          <w:lang w:val="en-US" w:eastAsia="zh-CN"/>
        </w:rPr>
      </w:pPr>
    </w:p>
    <w:p w14:paraId="7F7B022B">
      <w:pPr>
        <w:pStyle w:val="12"/>
        <w:numPr>
          <w:ilvl w:val="0"/>
          <w:numId w:val="0"/>
        </w:numPr>
        <w:outlineLvl w:val="9"/>
        <w:rPr>
          <w:rFonts w:hint="eastAsia"/>
          <w:lang w:val="en-US" w:eastAsia="zh-CN"/>
        </w:rPr>
      </w:pPr>
    </w:p>
    <w:p w14:paraId="7A992A3F">
      <w:pPr>
        <w:pStyle w:val="12"/>
        <w:numPr>
          <w:ilvl w:val="0"/>
          <w:numId w:val="0"/>
        </w:numPr>
        <w:outlineLvl w:val="9"/>
        <w:rPr>
          <w:rFonts w:hint="eastAsia"/>
          <w:lang w:val="en-US" w:eastAsia="zh-CN"/>
        </w:rPr>
      </w:pPr>
    </w:p>
    <w:p w14:paraId="1D46C4FC">
      <w:pPr>
        <w:pStyle w:val="12"/>
        <w:numPr>
          <w:ilvl w:val="0"/>
          <w:numId w:val="0"/>
        </w:numPr>
        <w:outlineLvl w:val="9"/>
        <w:rPr>
          <w:rFonts w:hint="eastAsia"/>
          <w:lang w:val="en-US" w:eastAsia="zh-CN"/>
        </w:rPr>
      </w:pPr>
    </w:p>
    <w:p w14:paraId="04362C13">
      <w:pPr>
        <w:pStyle w:val="12"/>
        <w:numPr>
          <w:ilvl w:val="0"/>
          <w:numId w:val="0"/>
        </w:numPr>
        <w:rPr>
          <w:rFonts w:hint="eastAsia"/>
          <w:lang w:val="en-US" w:eastAsia="zh-CN"/>
        </w:rPr>
      </w:pPr>
      <w:bookmarkStart w:id="174" w:name="_Toc26975"/>
      <w:r>
        <w:rPr>
          <w:rFonts w:hint="eastAsia"/>
          <w:lang w:val="en-US" w:eastAsia="zh-CN"/>
        </w:rPr>
        <w:t>9</w:t>
      </w:r>
      <w:r>
        <w:t xml:space="preserve">  </w:t>
      </w:r>
      <w:r>
        <w:rPr>
          <w:rFonts w:hint="eastAsia"/>
          <w:lang w:val="en-US" w:eastAsia="zh-CN"/>
        </w:rPr>
        <w:t>绿化养护</w:t>
      </w:r>
      <w:bookmarkEnd w:id="173"/>
      <w:bookmarkEnd w:id="174"/>
    </w:p>
    <w:p w14:paraId="03C48559">
      <w:pPr>
        <w:pStyle w:val="14"/>
        <w:rPr>
          <w:rFonts w:hint="eastAsia"/>
          <w:lang w:val="en-US" w:eastAsia="zh-CN"/>
        </w:rPr>
      </w:pPr>
      <w:bookmarkStart w:id="175" w:name="_Toc20341"/>
      <w:bookmarkStart w:id="176" w:name="_Toc29137"/>
      <w:r>
        <w:rPr>
          <w:rFonts w:hint="eastAsia"/>
          <w:lang w:val="en-US" w:eastAsia="zh-CN"/>
        </w:rPr>
        <w:t>9.1</w:t>
      </w:r>
      <w:r>
        <w:t xml:space="preserve">  </w:t>
      </w:r>
      <w:r>
        <w:rPr>
          <w:rFonts w:hint="eastAsia"/>
          <w:lang w:val="en-US" w:eastAsia="zh-CN"/>
        </w:rPr>
        <w:t>一般规定</w:t>
      </w:r>
      <w:bookmarkEnd w:id="175"/>
      <w:bookmarkEnd w:id="176"/>
    </w:p>
    <w:p w14:paraId="1915DD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应认真执行绿化管理制度，并编制和落实绿化养护方案，并做好绿化工作记录。</w:t>
      </w:r>
    </w:p>
    <w:p w14:paraId="7AF5F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根据服务区域绿化实际需要，配置专、兼职绿化养护人员。</w:t>
      </w:r>
    </w:p>
    <w:p w14:paraId="3D781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绿化养护人员应根据季节要求，按照养护规范对植物、草地、花卉等进行定期养护。</w:t>
      </w:r>
    </w:p>
    <w:p w14:paraId="0E7402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重大节日应对公共区域进行绿化装饰，如绿化小品、花草摆放等。</w:t>
      </w:r>
    </w:p>
    <w:p w14:paraId="11CAA75C">
      <w:pPr>
        <w:pStyle w:val="14"/>
        <w:rPr>
          <w:rFonts w:hint="eastAsia"/>
          <w:lang w:val="en-US" w:eastAsia="zh-CN"/>
        </w:rPr>
      </w:pPr>
      <w:bookmarkStart w:id="177" w:name="_Toc9178"/>
      <w:bookmarkStart w:id="178" w:name="_Toc10374"/>
      <w:r>
        <w:rPr>
          <w:rFonts w:hint="eastAsia"/>
          <w:lang w:val="en-US" w:eastAsia="zh-CN"/>
        </w:rPr>
        <w:t>9.2</w:t>
      </w:r>
      <w:r>
        <w:t xml:space="preserve">  </w:t>
      </w:r>
      <w:r>
        <w:rPr>
          <w:rFonts w:hint="eastAsia"/>
          <w:lang w:val="en-US" w:eastAsia="zh-CN"/>
        </w:rPr>
        <w:t>楼内绿化</w:t>
      </w:r>
      <w:bookmarkEnd w:id="177"/>
      <w:bookmarkEnd w:id="178"/>
    </w:p>
    <w:p w14:paraId="061948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公共区域应根据服务合同的约定或平面布局进行绿化；绿化植物色彩、形态应与空间、装饰氛围及功能相协调。</w:t>
      </w:r>
    </w:p>
    <w:p w14:paraId="1D1B9F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绿化植物应鲜活，具有观赏价值。叶面干净，无枯枝败叶，无病虫害，无杂草；盆器及托盘完好干净。</w:t>
      </w:r>
    </w:p>
    <w:p w14:paraId="5C7E20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应选择适宜在室内栽培的，观赏性强，观赏期长，存活率高，方便管理的植物品种。</w:t>
      </w:r>
    </w:p>
    <w:p w14:paraId="585814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应选用无毒、无害、无异味的基质栽培；发现病虫害及时更换植物，禁止在室内喷洒农药。</w:t>
      </w:r>
    </w:p>
    <w:p w14:paraId="42A76020">
      <w:pPr>
        <w:pStyle w:val="14"/>
        <w:rPr>
          <w:rFonts w:hint="eastAsia"/>
          <w:lang w:val="en-US" w:eastAsia="zh-CN"/>
        </w:rPr>
      </w:pPr>
      <w:bookmarkStart w:id="179" w:name="_Toc11399"/>
      <w:bookmarkStart w:id="180" w:name="_Toc17812"/>
      <w:r>
        <w:rPr>
          <w:rFonts w:hint="eastAsia"/>
          <w:lang w:val="en-US" w:eastAsia="zh-CN"/>
        </w:rPr>
        <w:t>9.3</w:t>
      </w:r>
      <w:r>
        <w:t xml:space="preserve">  </w:t>
      </w:r>
      <w:r>
        <w:rPr>
          <w:rFonts w:hint="eastAsia"/>
          <w:lang w:val="en-US" w:eastAsia="zh-CN"/>
        </w:rPr>
        <w:t>楼外绿化</w:t>
      </w:r>
      <w:bookmarkEnd w:id="179"/>
      <w:bookmarkEnd w:id="180"/>
    </w:p>
    <w:p w14:paraId="557CD0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应根据绿化方案确定绿地设施及硬质景观布置。其植物群落应完整，层次丰富，黄土不外露，有整体的观赏效果。</w:t>
      </w:r>
    </w:p>
    <w:p w14:paraId="4828C2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绿化灌溉次数应视天气情况而定，供水应充足，保持植物良好长势，不出现大面积枯萎等现象。</w:t>
      </w:r>
    </w:p>
    <w:p w14:paraId="16877E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草坪应保持平整，无纸屑、杂物；乔木修剪科学合理；绿篱修剪整齐有型；灌木花卉修剪及时。修剪下的树枝和杂草，应当天清理运走。</w:t>
      </w:r>
    </w:p>
    <w:p w14:paraId="39CB80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应按植物品种、生长速度、土壤状况，适时适量施肥。</w:t>
      </w:r>
    </w:p>
    <w:p w14:paraId="2AB7CC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应及时有效防治病虫害现象。喷洒农药时应做好警示、防止人与宠物误碰、误食。</w:t>
      </w:r>
    </w:p>
    <w:p w14:paraId="69C344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对新植和弱小树木、植物应做好综合防护，及时扶正加固；对残缺花草树木应及时补种。</w:t>
      </w:r>
    </w:p>
    <w:p w14:paraId="4FC3BD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风雨季节应灾前预防，对树木加固，灾后及时清除倒树断枝，疏通道路，清理扶植，尽快恢复原状。</w:t>
      </w:r>
    </w:p>
    <w:p w14:paraId="40742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寒冷季节应有防冻保温措施。</w:t>
      </w:r>
    </w:p>
    <w:p w14:paraId="068A3B82">
      <w:pPr>
        <w:pStyle w:val="12"/>
        <w:numPr>
          <w:ilvl w:val="0"/>
          <w:numId w:val="0"/>
        </w:numPr>
        <w:jc w:val="center"/>
        <w:outlineLvl w:val="9"/>
        <w:rPr>
          <w:rFonts w:hint="eastAsia" w:eastAsia="宋体"/>
        </w:rPr>
      </w:pPr>
      <w:bookmarkStart w:id="181" w:name="_Toc11797"/>
    </w:p>
    <w:p w14:paraId="6940BE42">
      <w:pPr>
        <w:pStyle w:val="12"/>
        <w:numPr>
          <w:ilvl w:val="0"/>
          <w:numId w:val="0"/>
        </w:numPr>
        <w:jc w:val="center"/>
        <w:outlineLvl w:val="9"/>
        <w:rPr>
          <w:rFonts w:hint="eastAsia" w:eastAsia="宋体"/>
        </w:rPr>
      </w:pPr>
    </w:p>
    <w:p w14:paraId="4461384F">
      <w:pPr>
        <w:pStyle w:val="12"/>
        <w:numPr>
          <w:ilvl w:val="0"/>
          <w:numId w:val="0"/>
        </w:numPr>
        <w:spacing w:before="0" w:beforeAutospacing="0"/>
        <w:jc w:val="center"/>
        <w:outlineLvl w:val="9"/>
        <w:rPr>
          <w:rFonts w:hint="eastAsia" w:eastAsia="宋体"/>
        </w:rPr>
      </w:pPr>
    </w:p>
    <w:bookmarkEnd w:id="181"/>
    <w:p w14:paraId="42CF59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21B831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50FF27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64B01C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27817C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6F359D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0595EE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01CB34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3F7943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05DB2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686AF7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18FBA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09413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28DA88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14:paraId="0212A086">
      <w:pPr>
        <w:pStyle w:val="12"/>
        <w:numPr>
          <w:ilvl w:val="0"/>
          <w:numId w:val="0"/>
        </w:numPr>
        <w:spacing w:before="0" w:beforeAutospacing="0"/>
        <w:jc w:val="center"/>
        <w:rPr>
          <w:rFonts w:hint="eastAsia" w:eastAsia="宋体"/>
        </w:rPr>
      </w:pPr>
      <w:bookmarkStart w:id="182" w:name="_Toc11026"/>
      <w:r>
        <w:rPr>
          <w:rFonts w:hint="eastAsia" w:eastAsia="宋体"/>
        </w:rPr>
        <w:t>本标准用词说明</w:t>
      </w:r>
      <w:bookmarkEnd w:id="182"/>
    </w:p>
    <w:p w14:paraId="71724E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ascii="Times New Roman" w:hAnsi="Times New Roman"/>
          <w:b/>
          <w:sz w:val="24"/>
          <w:szCs w:val="24"/>
        </w:rPr>
        <w:t>1</w:t>
      </w:r>
      <w:r>
        <w:rPr>
          <w:rFonts w:ascii="Times New Roman" w:hAnsi="Times New Roman"/>
          <w:sz w:val="24"/>
          <w:szCs w:val="24"/>
        </w:rPr>
        <w:t>　</w:t>
      </w:r>
      <w:r>
        <w:rPr>
          <w:rFonts w:hint="eastAsia" w:ascii="Times New Roman" w:hAnsi="Times New Roman"/>
          <w:sz w:val="24"/>
        </w:rPr>
        <w:t>为便于在执行本标准条文时区别对待，对要求严格程度不同的用词说明如下：</w:t>
      </w:r>
    </w:p>
    <w:p w14:paraId="35F7C0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ascii="Times New Roman" w:hAnsi="Times New Roman"/>
          <w:b/>
          <w:sz w:val="24"/>
          <w:szCs w:val="24"/>
        </w:rPr>
        <w:t>1</w:t>
      </w:r>
      <w:r>
        <w:rPr>
          <w:rFonts w:hint="eastAsia" w:ascii="Times New Roman" w:hAnsi="Times New Roman"/>
          <w:sz w:val="24"/>
          <w:szCs w:val="24"/>
        </w:rPr>
        <w:t>）</w:t>
      </w:r>
      <w:r>
        <w:rPr>
          <w:rFonts w:hint="eastAsia" w:ascii="Times New Roman" w:hAnsi="Times New Roman"/>
          <w:sz w:val="24"/>
        </w:rPr>
        <w:t>表示很严格，非这样做不可的：</w:t>
      </w:r>
    </w:p>
    <w:p w14:paraId="5E278E5D">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50"/>
        <w:textAlignment w:val="auto"/>
        <w:rPr>
          <w:rFonts w:hint="eastAsia" w:ascii="Times New Roman" w:hAnsi="Times New Roman"/>
          <w:sz w:val="24"/>
        </w:rPr>
      </w:pPr>
      <w:r>
        <w:rPr>
          <w:rFonts w:hint="eastAsia" w:ascii="Times New Roman" w:hAnsi="Times New Roman"/>
          <w:sz w:val="24"/>
        </w:rPr>
        <w:t>正面词采用“必须”，反面词采用“严禁”；</w:t>
      </w:r>
    </w:p>
    <w:p w14:paraId="04BA54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ascii="Times New Roman" w:hAnsi="Times New Roman"/>
          <w:b/>
          <w:sz w:val="24"/>
          <w:szCs w:val="24"/>
        </w:rPr>
        <w:t>2</w:t>
      </w:r>
      <w:r>
        <w:rPr>
          <w:rFonts w:hint="eastAsia" w:ascii="Times New Roman" w:hAnsi="Times New Roman"/>
          <w:sz w:val="24"/>
          <w:szCs w:val="24"/>
        </w:rPr>
        <w:t>）</w:t>
      </w:r>
      <w:r>
        <w:rPr>
          <w:rFonts w:hint="eastAsia" w:ascii="Times New Roman" w:hAnsi="Times New Roman"/>
          <w:sz w:val="24"/>
        </w:rPr>
        <w:t>表示严格，在正常情况下均应这样做的：</w:t>
      </w:r>
    </w:p>
    <w:p w14:paraId="31DCF2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正面词采用“应”，反面词采用“不应”或“不得”；</w:t>
      </w:r>
    </w:p>
    <w:p w14:paraId="7E4CA5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ascii="Times New Roman" w:hAnsi="Times New Roman"/>
          <w:b/>
          <w:sz w:val="24"/>
          <w:szCs w:val="24"/>
        </w:rPr>
        <w:t>3</w:t>
      </w:r>
      <w:r>
        <w:rPr>
          <w:rFonts w:hint="eastAsia" w:ascii="Times New Roman" w:hAnsi="Times New Roman"/>
          <w:sz w:val="24"/>
          <w:szCs w:val="24"/>
        </w:rPr>
        <w:t>）</w:t>
      </w:r>
      <w:r>
        <w:rPr>
          <w:rFonts w:hint="eastAsia" w:ascii="Times New Roman" w:hAnsi="Times New Roman"/>
          <w:sz w:val="24"/>
        </w:rPr>
        <w:t>表示允许稍有选择，在条件许可时首先应这样做的：</w:t>
      </w:r>
    </w:p>
    <w:p w14:paraId="2E496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正面词应采用“宜”，反面词应采用“不宜”；</w:t>
      </w:r>
    </w:p>
    <w:p w14:paraId="1772C5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ascii="Times New Roman" w:hAnsi="Times New Roman"/>
          <w:b/>
          <w:sz w:val="24"/>
          <w:szCs w:val="24"/>
        </w:rPr>
        <w:t>4</w:t>
      </w:r>
      <w:r>
        <w:rPr>
          <w:rFonts w:hint="eastAsia" w:ascii="Times New Roman" w:hAnsi="Times New Roman"/>
          <w:sz w:val="24"/>
          <w:szCs w:val="24"/>
        </w:rPr>
        <w:t>）</w:t>
      </w:r>
      <w:r>
        <w:rPr>
          <w:rFonts w:hint="eastAsia" w:ascii="Times New Roman" w:hAnsi="Times New Roman"/>
          <w:sz w:val="24"/>
        </w:rPr>
        <w:t>表示有选择，在一定条件下可以这样做的，采用“可”。</w:t>
      </w:r>
    </w:p>
    <w:p w14:paraId="6ED871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ascii="Times New Roman" w:hAnsi="Times New Roman"/>
          <w:b/>
          <w:sz w:val="24"/>
          <w:szCs w:val="24"/>
        </w:rPr>
        <w:t>2</w:t>
      </w:r>
      <w:r>
        <w:rPr>
          <w:rFonts w:ascii="Times New Roman" w:hAnsi="Times New Roman"/>
          <w:sz w:val="24"/>
          <w:szCs w:val="24"/>
        </w:rPr>
        <w:t>　</w:t>
      </w:r>
      <w:r>
        <w:rPr>
          <w:rFonts w:hint="eastAsia" w:ascii="Times New Roman" w:hAnsi="Times New Roman"/>
          <w:sz w:val="24"/>
        </w:rPr>
        <w:t>条文中指明应按其他有关标准执行的写法为：“应符合……的规定”或“应按……执行”。</w:t>
      </w:r>
    </w:p>
    <w:p w14:paraId="3C2AAC25">
      <w:pPr>
        <w:pStyle w:val="12"/>
        <w:numPr>
          <w:ilvl w:val="0"/>
          <w:numId w:val="0"/>
        </w:numPr>
        <w:jc w:val="center"/>
        <w:outlineLvl w:val="9"/>
        <w:rPr>
          <w:rFonts w:hint="eastAsia" w:eastAsia="宋体"/>
        </w:rPr>
      </w:pPr>
    </w:p>
    <w:p w14:paraId="274A28CB">
      <w:pPr>
        <w:pStyle w:val="12"/>
        <w:numPr>
          <w:ilvl w:val="0"/>
          <w:numId w:val="0"/>
        </w:numPr>
        <w:jc w:val="center"/>
        <w:outlineLvl w:val="9"/>
        <w:rPr>
          <w:rFonts w:hint="eastAsia" w:eastAsia="宋体"/>
        </w:rPr>
      </w:pPr>
    </w:p>
    <w:p w14:paraId="69C47C02">
      <w:pPr>
        <w:pStyle w:val="12"/>
        <w:numPr>
          <w:ilvl w:val="0"/>
          <w:numId w:val="0"/>
        </w:numPr>
        <w:jc w:val="both"/>
        <w:outlineLvl w:val="9"/>
        <w:rPr>
          <w:rFonts w:hint="eastAsia" w:eastAsia="宋体"/>
        </w:rPr>
      </w:pPr>
    </w:p>
    <w:p w14:paraId="678A67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14:paraId="465CBE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14:paraId="29908A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14:paraId="30B605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14:paraId="52842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14:paraId="55A988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14:paraId="1C1DAE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14:paraId="349DB1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r>
        <w:rPr>
          <w:rFonts w:hint="eastAsia" w:ascii="Times New Roman" w:hAnsi="Times New Roman" w:eastAsia="宋体" w:cs="Times New Roman"/>
          <w:b/>
          <w:bCs/>
          <w:kern w:val="44"/>
          <w:sz w:val="30"/>
          <w:szCs w:val="20"/>
          <w:lang w:val="en-US" w:eastAsia="zh-CN" w:bidi="ar-SA"/>
        </w:rPr>
        <w:t>引用标准名录</w:t>
      </w:r>
    </w:p>
    <w:p w14:paraId="3CBA5F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14:paraId="0A3708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物业管理术语  T/CPMI014-2023</w:t>
      </w:r>
    </w:p>
    <w:p w14:paraId="2A9E82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房地产业基础术语标准  JCS/T30-2015</w:t>
      </w:r>
    </w:p>
    <w:p w14:paraId="5482C7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住宅物业消防安全管理  GA1083-2015</w:t>
      </w:r>
    </w:p>
    <w:p w14:paraId="107C33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二次供水设施卫生规范  GB17051-1997</w:t>
      </w:r>
    </w:p>
    <w:p w14:paraId="12697C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建筑消防设施的维护管理  GB25201-2010</w:t>
      </w:r>
    </w:p>
    <w:p w14:paraId="31AB11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物业管理员（师）职业能力评价规范  T/CPM1010-2020</w:t>
      </w:r>
    </w:p>
    <w:p w14:paraId="03CDE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ineta BT">
    <w:altName w:val="宋体"/>
    <w:panose1 w:val="04020906050602070202"/>
    <w:charset w:val="00"/>
    <w:family w:val="decorative"/>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E027">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9E43">
    <w:pPr>
      <w:pStyle w:val="4"/>
      <w:framePr w:wrap="around" w:vAnchor="text" w:hAnchor="margin" w:xAlign="center" w:y="1"/>
      <w:rPr>
        <w:rStyle w:val="9"/>
      </w:rPr>
    </w:pPr>
    <w:r>
      <w:fldChar w:fldCharType="begin"/>
    </w:r>
    <w:r>
      <w:rPr>
        <w:rStyle w:val="9"/>
      </w:rPr>
      <w:instrText xml:space="preserve">PAGE  </w:instrText>
    </w:r>
    <w:r>
      <w:fldChar w:fldCharType="end"/>
    </w:r>
  </w:p>
  <w:p w14:paraId="50580486">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767BA"/>
    <w:multiLevelType w:val="multilevel"/>
    <w:tmpl w:val="70B767BA"/>
    <w:lvl w:ilvl="0" w:tentative="0">
      <w:start w:val="1"/>
      <w:numFmt w:val="decimal"/>
      <w:pStyle w:val="2"/>
      <w:lvlText w:val="%1"/>
      <w:lvlJc w:val="left"/>
      <w:pPr>
        <w:ind w:left="3544" w:firstLine="0"/>
      </w:pPr>
      <w:rPr>
        <w:rFonts w:hint="eastAsia"/>
      </w:rPr>
    </w:lvl>
    <w:lvl w:ilvl="1" w:tentative="0">
      <w:start w:val="1"/>
      <w:numFmt w:val="decimal"/>
      <w:lvlText w:val="%1.%2"/>
      <w:lvlJc w:val="left"/>
      <w:pPr>
        <w:ind w:left="2978" w:firstLine="0"/>
      </w:pPr>
      <w:rPr>
        <w:rFonts w:hint="eastAsia"/>
      </w:rPr>
    </w:lvl>
    <w:lvl w:ilvl="2" w:tentative="0">
      <w:start w:val="1"/>
      <w:numFmt w:val="decimal"/>
      <w:lvlText w:val="%1.%2.%3"/>
      <w:lvlJc w:val="left"/>
      <w:pPr>
        <w:ind w:left="0" w:firstLine="0"/>
      </w:pPr>
      <w:rPr>
        <w:rFonts w:hint="eastAsia"/>
        <w:b/>
        <w:dstrike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M2VmZTk1NzVlNGE5YzlhZTI2OTU4ZWU0Njg3NjYifQ=="/>
  </w:docVars>
  <w:rsids>
    <w:rsidRoot w:val="00000000"/>
    <w:rsid w:val="002C4614"/>
    <w:rsid w:val="0328714A"/>
    <w:rsid w:val="0C662A91"/>
    <w:rsid w:val="10BA7D11"/>
    <w:rsid w:val="12D9236B"/>
    <w:rsid w:val="19555B56"/>
    <w:rsid w:val="19A277FE"/>
    <w:rsid w:val="1AFE5253"/>
    <w:rsid w:val="1C941E90"/>
    <w:rsid w:val="1D90796E"/>
    <w:rsid w:val="240B41F2"/>
    <w:rsid w:val="267E03A5"/>
    <w:rsid w:val="28154094"/>
    <w:rsid w:val="2C5C1955"/>
    <w:rsid w:val="2ECB1C20"/>
    <w:rsid w:val="33352295"/>
    <w:rsid w:val="36445108"/>
    <w:rsid w:val="3AA572CA"/>
    <w:rsid w:val="3AC2432A"/>
    <w:rsid w:val="3BB82073"/>
    <w:rsid w:val="3E9A5977"/>
    <w:rsid w:val="3EE3237F"/>
    <w:rsid w:val="3EEF4B85"/>
    <w:rsid w:val="411A4ED2"/>
    <w:rsid w:val="42B21FB1"/>
    <w:rsid w:val="443508C0"/>
    <w:rsid w:val="4D0553D3"/>
    <w:rsid w:val="4D4448B5"/>
    <w:rsid w:val="4E5620D4"/>
    <w:rsid w:val="518939A7"/>
    <w:rsid w:val="52392C30"/>
    <w:rsid w:val="566957FF"/>
    <w:rsid w:val="581C1E30"/>
    <w:rsid w:val="5D8B76EF"/>
    <w:rsid w:val="5DC23366"/>
    <w:rsid w:val="5F006C29"/>
    <w:rsid w:val="5F71212B"/>
    <w:rsid w:val="62341B3E"/>
    <w:rsid w:val="631101D6"/>
    <w:rsid w:val="63626E16"/>
    <w:rsid w:val="68553916"/>
    <w:rsid w:val="6A2415BB"/>
    <w:rsid w:val="6B1F7E43"/>
    <w:rsid w:val="6D457E27"/>
    <w:rsid w:val="6D852890"/>
    <w:rsid w:val="6F296D23"/>
    <w:rsid w:val="6F593630"/>
    <w:rsid w:val="71504216"/>
    <w:rsid w:val="71D247CC"/>
    <w:rsid w:val="72785B7B"/>
    <w:rsid w:val="749F4448"/>
    <w:rsid w:val="7585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toc 1"/>
    <w:basedOn w:val="1"/>
    <w:next w:val="1"/>
    <w:autoRedefine/>
    <w:unhideWhenUsed/>
    <w:qFormat/>
    <w:uiPriority w:val="39"/>
    <w:pPr>
      <w:tabs>
        <w:tab w:val="right" w:leader="dot" w:pos="8505"/>
      </w:tabs>
      <w:spacing w:line="400" w:lineRule="exact"/>
    </w:pPr>
    <w:rPr>
      <w:rFonts w:ascii="Times New Roman" w:hAnsi="Times New Roman"/>
      <w:sz w:val="24"/>
    </w:rPr>
  </w:style>
  <w:style w:type="paragraph" w:styleId="6">
    <w:name w:val="toc 2"/>
    <w:basedOn w:val="1"/>
    <w:next w:val="1"/>
    <w:autoRedefine/>
    <w:qFormat/>
    <w:uiPriority w:val="0"/>
    <w:pPr>
      <w:ind w:left="420" w:leftChars="200"/>
    </w:pPr>
  </w:style>
  <w:style w:type="character" w:styleId="9">
    <w:name w:val="page number"/>
    <w:autoRedefine/>
    <w:qFormat/>
    <w:uiPriority w:val="0"/>
  </w:style>
  <w:style w:type="character" w:styleId="10">
    <w:name w:val="Hyperlink"/>
    <w:autoRedefine/>
    <w:unhideWhenUsed/>
    <w:qFormat/>
    <w:uiPriority w:val="99"/>
    <w:rPr>
      <w:color w:val="0563C1"/>
      <w:u w:val="single"/>
    </w:rPr>
  </w:style>
  <w:style w:type="paragraph" w:customStyle="1" w:styleId="1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2">
    <w:name w:val="CJJ标题 1 + Times New Roman"/>
    <w:basedOn w:val="2"/>
    <w:autoRedefine/>
    <w:qFormat/>
    <w:uiPriority w:val="0"/>
    <w:pPr>
      <w:numPr>
        <w:ilvl w:val="0"/>
        <w:numId w:val="1"/>
      </w:numPr>
      <w:jc w:val="center"/>
    </w:pPr>
    <w:rPr>
      <w:rFonts w:ascii="Times New Roman" w:hAnsi="Times New Roman"/>
      <w:sz w:val="30"/>
      <w:szCs w:val="20"/>
    </w:rPr>
  </w:style>
  <w:style w:type="paragraph" w:customStyle="1" w:styleId="13">
    <w:name w:val="CJJ标题3样式 Times New Roman 小四 行距: 1.5 倍行距"/>
    <w:basedOn w:val="1"/>
    <w:autoRedefine/>
    <w:qFormat/>
    <w:uiPriority w:val="0"/>
    <w:pPr>
      <w:spacing w:line="360" w:lineRule="auto"/>
    </w:pPr>
    <w:rPr>
      <w:rFonts w:ascii="Times New Roman" w:hAnsi="Times New Roman" w:cs="宋体"/>
      <w:sz w:val="24"/>
      <w:szCs w:val="20"/>
    </w:rPr>
  </w:style>
  <w:style w:type="paragraph" w:customStyle="1" w:styleId="14">
    <w:name w:val="CJJ样式 标题 2 + Times New Roman"/>
    <w:basedOn w:val="3"/>
    <w:autoRedefine/>
    <w:qFormat/>
    <w:uiPriority w:val="0"/>
    <w:pPr>
      <w:adjustRightInd w:val="0"/>
      <w:spacing w:line="415" w:lineRule="auto"/>
      <w:ind w:left="0"/>
      <w:jc w:val="center"/>
    </w:pPr>
    <w:rPr>
      <w:rFonts w:ascii="Times New Roman" w:hAnsi="Times New Roman" w:eastAsia="黑体"/>
      <w:sz w:val="28"/>
      <w:szCs w:val="20"/>
    </w:rPr>
  </w:style>
  <w:style w:type="paragraph" w:customStyle="1" w:styleId="15">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18616</Words>
  <Characters>20267</Characters>
  <Lines>0</Lines>
  <Paragraphs>0</Paragraphs>
  <TotalTime>3</TotalTime>
  <ScaleCrop>false</ScaleCrop>
  <LinksUpToDate>false</LinksUpToDate>
  <CharactersWithSpaces>21506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2024-04-15T08:05:00Z</dcterms:created>
  <dc:creator>SXFX</dc:creator>
  <cp:lastModifiedBy>Administrator</cp:lastModifiedBy>
  <cp:lastPrinted>2024-04-19T01:13:00Z</cp:lastPrinted>
  <dcterms:modified xsi:type="dcterms:W3CDTF">2024-12-02T06:41:02Z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BB215119C4D948169F695AF02A002F05_12</vt:lpwstr>
  </property>
</Properties>
</file>