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8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1335"/>
        <w:gridCol w:w="1125"/>
        <w:gridCol w:w="1440"/>
        <w:gridCol w:w="1350"/>
        <w:gridCol w:w="1590"/>
        <w:gridCol w:w="1365"/>
        <w:gridCol w:w="141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864"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附表3</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36"/>
                <w:szCs w:val="36"/>
                <w:u w:val="single"/>
                <w:lang w:val="en-US" w:eastAsia="zh-CN" w:bidi="ar"/>
              </w:rPr>
              <w:t>石楼县</w:t>
            </w:r>
            <w:r>
              <w:rPr>
                <w:rFonts w:hint="eastAsia" w:ascii="宋体" w:hAnsi="宋体" w:eastAsia="宋体" w:cs="宋体"/>
                <w:b/>
                <w:bCs/>
                <w:i w:val="0"/>
                <w:iCs w:val="0"/>
                <w:color w:val="000000"/>
                <w:kern w:val="0"/>
                <w:sz w:val="36"/>
                <w:szCs w:val="36"/>
                <w:u w:val="none"/>
                <w:lang w:val="en-US" w:eastAsia="zh-CN" w:bidi="ar"/>
              </w:rPr>
              <w:t>2023年度国家水土保持重点工程水土流失治理情况表</w:t>
            </w:r>
          </w:p>
          <w:p>
            <w:pPr>
              <w:jc w:val="lef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国家水土保持重点工程</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水土流失治理面积</w:t>
            </w: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小流域综合治理</w:t>
            </w:r>
          </w:p>
        </w:tc>
        <w:tc>
          <w:tcPr>
            <w:tcW w:w="29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坡耕地综合治理</w:t>
            </w: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淤地坝建设</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淤地坝除险加固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km²</w:t>
            </w:r>
          </w:p>
        </w:tc>
        <w:tc>
          <w:tcPr>
            <w:tcW w:w="112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hm²</w:t>
            </w:r>
          </w:p>
        </w:tc>
        <w:tc>
          <w:tcPr>
            <w:tcW w:w="1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hm²</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hm²</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列次</w:t>
            </w:r>
          </w:p>
        </w:tc>
        <w:tc>
          <w:tcPr>
            <w:tcW w:w="133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石楼县</w:t>
            </w:r>
          </w:p>
        </w:tc>
        <w:tc>
          <w:tcPr>
            <w:tcW w:w="133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43.24</w:t>
            </w:r>
          </w:p>
        </w:tc>
        <w:tc>
          <w:tcPr>
            <w:tcW w:w="112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9"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填表：李保平</w:t>
            </w:r>
          </w:p>
        </w:tc>
        <w:tc>
          <w:tcPr>
            <w:tcW w:w="1335"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125"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440"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校核：李青平</w:t>
            </w:r>
          </w:p>
        </w:tc>
        <w:tc>
          <w:tcPr>
            <w:tcW w:w="1350"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90"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36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审核：解利国</w:t>
            </w:r>
          </w:p>
        </w:tc>
        <w:tc>
          <w:tcPr>
            <w:tcW w:w="1410"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710"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1.减少土壤流失量指实施的水土保持措施减少的土壤流失量，依据《水土保持综合治理效益计算方法》（GB/T 15774-2008）和水土流失动态监测得出的水土保持措施效益定额进行计算。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2.水土保持措施增产粮食是指实施水土保持措施土地上生产的粮食与未实施水土保持措施土地上生产的粮食的增产量，依据《水土保持综合治理效益计算方法》（GB/T 15774-2008）和水土流失动态监测得出的水土保持措施效益定额进行计算。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3.水土保持措施增加收入是指实施水土保持措施土地上产出的经济效益与未实施水土保持措施土地上产出的经济效益的增加值，依据《水土保持综合治理效益计算方法》（GB/T 15774-2008）和水土流失动态监测得出的水土保持措施效益定额进行计算。</w:t>
      </w:r>
    </w:p>
    <w:p>
      <w:r>
        <w:rPr>
          <w:rFonts w:hint="eastAsia" w:ascii="宋体" w:hAnsi="宋体" w:eastAsia="宋体" w:cs="宋体"/>
          <w:i w:val="0"/>
          <w:iCs w:val="0"/>
          <w:color w:val="000000"/>
          <w:kern w:val="0"/>
          <w:sz w:val="20"/>
          <w:szCs w:val="20"/>
          <w:u w:val="none"/>
          <w:lang w:val="en-US" w:eastAsia="zh-CN" w:bidi="ar"/>
        </w:rPr>
        <w:t xml:space="preserve">   4.表中各列填报全县合计数及各县级行政区数据。</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WU5YWQyOThlM2FhMWE4MzRmOTI0ZjE1NDBkNzcifQ=="/>
  </w:docVars>
  <w:rsids>
    <w:rsidRoot w:val="00000000"/>
    <w:rsid w:val="7C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2024-01-23T02:42:24Z</dcterms:created>
  <dc:creator>Administrator</dc:creator>
  <cp:lastModifiedBy>文档存本地丢失不负责</cp:lastModifiedBy>
  <dcterms:modified xsi:type="dcterms:W3CDTF">2024-01-23T02:43:48Z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76EBC3300507477F907C1C61F7381F60_12</vt:lpwstr>
  </property>
</Properties>
</file>