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年政府预算补充说明</w:t>
      </w:r>
    </w:p>
    <w:p>
      <w:pPr>
        <w:rPr>
          <w:rFonts w:ascii="宋体" w:hAnsi="宋体" w:eastAsia="宋体" w:cs="宋体"/>
          <w:color w:val="000000"/>
          <w:sz w:val="24"/>
        </w:rPr>
      </w:pPr>
    </w:p>
    <w:p>
      <w:pPr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一、转移支付安排情况</w:t>
      </w:r>
    </w:p>
    <w:p>
      <w:pPr>
        <w:pStyle w:val="5"/>
        <w:widowControl/>
        <w:spacing w:before="30" w:beforeAutospacing="0" w:afterAutospacing="0" w:line="420" w:lineRule="atLeast"/>
        <w:ind w:firstLine="42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（一）税收返还和转移支付安排</w:t>
      </w:r>
    </w:p>
    <w:p>
      <w:pPr>
        <w:pStyle w:val="5"/>
        <w:widowControl/>
        <w:spacing w:before="30" w:beforeAutospacing="0" w:afterAutospacing="0" w:line="420" w:lineRule="atLeast"/>
        <w:ind w:firstLine="42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年一般公共预算转移性收入总计19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6253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万元，其中：返还性收入为1141万元，一般性转移支付收入为13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5198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万元，专项转移支付收入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334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万元。政府性基金转移收入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25373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万元；国有资本经营预算转移支付为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万元。</w:t>
      </w:r>
    </w:p>
    <w:p>
      <w:pPr>
        <w:pStyle w:val="5"/>
        <w:widowControl/>
        <w:spacing w:before="30" w:beforeAutospacing="0" w:afterAutospacing="0" w:line="420" w:lineRule="atLeast"/>
        <w:ind w:left="42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（二）债务情况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-SA"/>
        </w:rPr>
        <w:t>2023年上级已下达我县地方政府债券资金2.69亿元，其中：专项债券2.26亿元，拟安排汾石高速项目1亿元、大医院迁建项目1.08亿元、老旧小区改造项目0.18亿元;一般债券4300万元，拟安排石楼中学公寓楼建设项目2800万元，南城初中建设项目300万元，小镇易地迁建项目700万元，延安街东延建设项目500万元。债务风险在可控范围内。</w:t>
      </w:r>
    </w:p>
    <w:p>
      <w:pPr>
        <w:pStyle w:val="5"/>
        <w:widowControl/>
        <w:spacing w:before="30" w:beforeAutospacing="0" w:afterAutospacing="0" w:line="420" w:lineRule="atLeast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二、“三公”经费增减变化情况</w:t>
      </w:r>
    </w:p>
    <w:p>
      <w:pPr>
        <w:pStyle w:val="5"/>
        <w:widowControl/>
        <w:spacing w:before="30" w:beforeAutospacing="0" w:afterAutospacing="0" w:line="420" w:lineRule="atLeast"/>
        <w:ind w:firstLine="640" w:firstLineChars="20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经汇总，202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年县本级行政事业单位使用财政拨款安排的“三公”经费预算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1000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万元，比上年预算减少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万元，同比下降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4.76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％。其中：因公出国（境）经费0万元，与上年预算持平；公务接待费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320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为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上年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执行数的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99.07%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；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公务用车运行费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万元，比上年预算减少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万元，同比下降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18.92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％；公务用车购置费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380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万元，比上年预算减少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万元，同比下降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11.63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％</w:t>
      </w:r>
      <w:r>
        <w:rPr>
          <w:rStyle w:val="7"/>
          <w:rFonts w:hint="eastAsia" w:ascii="宋体" w:hAnsi="宋体" w:eastAsia="宋体" w:cs="宋体"/>
          <w:i w:val="0"/>
          <w:color w:val="333333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TJjYjk1OGZkNDE5NmMxMjJiOTc2MDVhNDVkMDkifQ=="/>
  </w:docVars>
  <w:rsids>
    <w:rsidRoot w:val="00E44DD2"/>
    <w:rsid w:val="00001B1E"/>
    <w:rsid w:val="004564E8"/>
    <w:rsid w:val="00487C3F"/>
    <w:rsid w:val="005F5BDE"/>
    <w:rsid w:val="008B2CE8"/>
    <w:rsid w:val="00C519B2"/>
    <w:rsid w:val="00E44DD2"/>
    <w:rsid w:val="13103DCC"/>
    <w:rsid w:val="4579419E"/>
    <w:rsid w:val="522C6B9A"/>
    <w:rsid w:val="5D607672"/>
    <w:rsid w:val="695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414</Words>
  <Characters>87</Characters>
  <Lines>1</Lines>
  <Paragraphs>1</Paragraphs>
  <ScaleCrop>false</ScaleCrop>
  <LinksUpToDate>false</LinksUpToDate>
  <CharactersWithSpaces>500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2023-06-02T01:22:00Z</dcterms:created>
  <dc:creator>Administrator</dc:creator>
  <cp:lastModifiedBy>Administrator</cp:lastModifiedBy>
  <dcterms:modified xsi:type="dcterms:W3CDTF">2023-06-02T09:47:51Z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ICV">
    <vt:lpwstr>753D1A084EB34A8CBE8A85BD4C3DDFBC</vt:lpwstr>
  </property>
</Properties>
</file>