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814CDC">
      <w:pPr>
        <w:spacing w:line="244" w:lineRule="auto"/>
        <w:rPr>
          <w:rFonts w:ascii="Arial"/>
          <w:sz w:val="21"/>
        </w:rPr>
      </w:pPr>
    </w:p>
    <w:p w14:paraId="05286935">
      <w:pPr>
        <w:spacing w:line="244" w:lineRule="auto"/>
        <w:rPr>
          <w:rFonts w:ascii="Arial"/>
          <w:sz w:val="21"/>
        </w:rPr>
      </w:pPr>
    </w:p>
    <w:p w14:paraId="195D7C53">
      <w:pPr>
        <w:spacing w:line="245" w:lineRule="auto"/>
        <w:rPr>
          <w:rFonts w:ascii="Arial"/>
          <w:sz w:val="21"/>
        </w:rPr>
      </w:pPr>
    </w:p>
    <w:p w14:paraId="6558E13F">
      <w:pPr>
        <w:spacing w:line="245" w:lineRule="auto"/>
        <w:rPr>
          <w:rFonts w:ascii="Arial"/>
          <w:sz w:val="21"/>
        </w:rPr>
      </w:pPr>
    </w:p>
    <w:p w14:paraId="18ADEFD8">
      <w:pPr>
        <w:spacing w:line="245" w:lineRule="auto"/>
        <w:rPr>
          <w:rFonts w:ascii="Arial"/>
          <w:sz w:val="21"/>
        </w:rPr>
      </w:pPr>
    </w:p>
    <w:p w14:paraId="697D799E">
      <w:pPr>
        <w:spacing w:line="245" w:lineRule="auto"/>
        <w:rPr>
          <w:rFonts w:ascii="Arial"/>
          <w:sz w:val="21"/>
        </w:rPr>
      </w:pPr>
    </w:p>
    <w:p w14:paraId="7AD0FA98">
      <w:pPr>
        <w:spacing w:line="245" w:lineRule="auto"/>
        <w:rPr>
          <w:rFonts w:ascii="Arial"/>
          <w:sz w:val="21"/>
        </w:rPr>
      </w:pPr>
    </w:p>
    <w:p w14:paraId="74A84B99">
      <w:pPr>
        <w:spacing w:line="245" w:lineRule="auto"/>
        <w:rPr>
          <w:rFonts w:ascii="Arial"/>
          <w:sz w:val="21"/>
        </w:rPr>
      </w:pPr>
    </w:p>
    <w:p w14:paraId="3CF5A006">
      <w:pPr>
        <w:spacing w:line="245" w:lineRule="auto"/>
        <w:rPr>
          <w:rFonts w:ascii="Arial"/>
          <w:sz w:val="21"/>
        </w:rPr>
      </w:pPr>
    </w:p>
    <w:p w14:paraId="00623C76">
      <w:pPr>
        <w:spacing w:line="245" w:lineRule="auto"/>
        <w:rPr>
          <w:rFonts w:ascii="Arial"/>
          <w:sz w:val="21"/>
        </w:rPr>
      </w:pPr>
    </w:p>
    <w:p w14:paraId="7C3CD191">
      <w:pPr>
        <w:spacing w:line="245" w:lineRule="auto"/>
        <w:rPr>
          <w:rFonts w:ascii="Arial"/>
          <w:sz w:val="21"/>
        </w:rPr>
      </w:pPr>
    </w:p>
    <w:p w14:paraId="691768E4">
      <w:pPr>
        <w:spacing w:line="245" w:lineRule="auto"/>
        <w:rPr>
          <w:rFonts w:ascii="Arial"/>
          <w:sz w:val="21"/>
        </w:rPr>
      </w:pPr>
    </w:p>
    <w:p w14:paraId="64851965">
      <w:pPr>
        <w:spacing w:line="245" w:lineRule="auto"/>
        <w:rPr>
          <w:rFonts w:ascii="Arial"/>
          <w:sz w:val="21"/>
        </w:rPr>
      </w:pPr>
    </w:p>
    <w:p w14:paraId="757E2C8E">
      <w:pPr>
        <w:spacing w:line="245" w:lineRule="auto"/>
        <w:rPr>
          <w:rFonts w:ascii="Arial"/>
          <w:sz w:val="21"/>
        </w:rPr>
      </w:pPr>
    </w:p>
    <w:p w14:paraId="4D170956">
      <w:pPr>
        <w:spacing w:line="245" w:lineRule="auto"/>
        <w:rPr>
          <w:rFonts w:ascii="Arial"/>
          <w:sz w:val="21"/>
        </w:rPr>
      </w:pPr>
    </w:p>
    <w:p w14:paraId="793E03E7">
      <w:pPr>
        <w:spacing w:line="245" w:lineRule="auto"/>
        <w:rPr>
          <w:rFonts w:ascii="Arial"/>
          <w:sz w:val="21"/>
        </w:rPr>
      </w:pPr>
    </w:p>
    <w:p w14:paraId="2D4EEB8C">
      <w:pPr>
        <w:spacing w:line="245" w:lineRule="auto"/>
        <w:rPr>
          <w:rFonts w:ascii="Arial"/>
          <w:sz w:val="21"/>
        </w:rPr>
      </w:pPr>
    </w:p>
    <w:p w14:paraId="7F929C75">
      <w:pPr>
        <w:spacing w:line="245" w:lineRule="auto"/>
        <w:rPr>
          <w:rFonts w:ascii="Arial"/>
          <w:sz w:val="21"/>
        </w:rPr>
      </w:pPr>
    </w:p>
    <w:p w14:paraId="39D4D0B6">
      <w:pPr>
        <w:spacing w:line="245" w:lineRule="auto"/>
        <w:rPr>
          <w:rFonts w:ascii="Arial"/>
          <w:sz w:val="21"/>
        </w:rPr>
      </w:pPr>
    </w:p>
    <w:p w14:paraId="129076CD">
      <w:pPr>
        <w:spacing w:line="245" w:lineRule="auto"/>
        <w:rPr>
          <w:rFonts w:ascii="Arial"/>
          <w:sz w:val="21"/>
        </w:rPr>
      </w:pPr>
    </w:p>
    <w:p w14:paraId="4A83B9E5">
      <w:pPr>
        <w:spacing w:line="245" w:lineRule="auto"/>
        <w:rPr>
          <w:rFonts w:ascii="Arial"/>
          <w:sz w:val="21"/>
        </w:rPr>
      </w:pPr>
    </w:p>
    <w:p w14:paraId="2F61E5F6">
      <w:pPr>
        <w:pStyle w:val="2"/>
        <w:spacing w:before="125" w:line="197" w:lineRule="auto"/>
        <w:ind w:left="1525"/>
        <w:outlineLvl w:val="0"/>
        <w:rPr>
          <w:rFonts w:hint="default" w:eastAsia="华文中宋"/>
          <w:lang w:val="en-US" w:eastAsia="zh-CN"/>
        </w:rPr>
      </w:pPr>
      <w:r>
        <w:rPr>
          <w:spacing w:val="-11"/>
        </w:rPr>
        <w:t>石</w:t>
      </w:r>
      <w:r>
        <w:rPr>
          <w:spacing w:val="47"/>
        </w:rPr>
        <w:t xml:space="preserve"> </w:t>
      </w:r>
      <w:r>
        <w:rPr>
          <w:spacing w:val="-11"/>
        </w:rPr>
        <w:t>楼</w:t>
      </w:r>
      <w:r>
        <w:rPr>
          <w:spacing w:val="50"/>
        </w:rPr>
        <w:t xml:space="preserve"> </w:t>
      </w:r>
      <w:r>
        <w:rPr>
          <w:spacing w:val="-11"/>
        </w:rPr>
        <w:t>县</w:t>
      </w:r>
      <w:r>
        <w:rPr>
          <w:spacing w:val="69"/>
        </w:rPr>
        <w:t xml:space="preserve"> </w:t>
      </w:r>
      <w:r>
        <w:rPr>
          <w:spacing w:val="-11"/>
        </w:rPr>
        <w:t>医</w:t>
      </w:r>
      <w:r>
        <w:rPr>
          <w:spacing w:val="47"/>
        </w:rPr>
        <w:t xml:space="preserve"> </w:t>
      </w:r>
      <w:r>
        <w:rPr>
          <w:spacing w:val="-11"/>
        </w:rPr>
        <w:t>疗</w:t>
      </w:r>
      <w:r>
        <w:rPr>
          <w:spacing w:val="46"/>
        </w:rPr>
        <w:t xml:space="preserve"> </w:t>
      </w:r>
      <w:r>
        <w:rPr>
          <w:spacing w:val="-11"/>
        </w:rPr>
        <w:t>集</w:t>
      </w:r>
      <w:r>
        <w:rPr>
          <w:spacing w:val="79"/>
        </w:rPr>
        <w:t xml:space="preserve"> </w:t>
      </w:r>
      <w:r>
        <w:rPr>
          <w:spacing w:val="-11"/>
        </w:rPr>
        <w:t>团</w:t>
      </w:r>
      <w:r>
        <w:rPr>
          <w:spacing w:val="67"/>
        </w:rPr>
        <w:t xml:space="preserve"> </w:t>
      </w:r>
      <w:r>
        <w:rPr>
          <w:rFonts w:hint="eastAsia"/>
          <w:spacing w:val="-11"/>
          <w:lang w:val="en-US" w:eastAsia="zh-CN"/>
        </w:rPr>
        <w:t>灵 泉</w:t>
      </w:r>
      <w:r>
        <w:rPr>
          <w:spacing w:val="47"/>
        </w:rPr>
        <w:t xml:space="preserve"> </w:t>
      </w:r>
      <w:r>
        <w:rPr>
          <w:spacing w:val="-11"/>
        </w:rPr>
        <w:t>镇</w:t>
      </w:r>
      <w:r>
        <w:rPr>
          <w:spacing w:val="47"/>
        </w:rPr>
        <w:t xml:space="preserve"> </w:t>
      </w:r>
      <w:r>
        <w:rPr>
          <w:spacing w:val="-11"/>
        </w:rPr>
        <w:t>卫</w:t>
      </w:r>
      <w:r>
        <w:rPr>
          <w:spacing w:val="70"/>
        </w:rPr>
        <w:t xml:space="preserve"> </w:t>
      </w:r>
      <w:r>
        <w:rPr>
          <w:spacing w:val="-11"/>
        </w:rPr>
        <w:t>生</w:t>
      </w:r>
      <w:r>
        <w:rPr>
          <w:spacing w:val="68"/>
        </w:rPr>
        <w:t xml:space="preserve"> </w:t>
      </w:r>
      <w:r>
        <w:rPr>
          <w:spacing w:val="-11"/>
        </w:rPr>
        <w:t>院</w:t>
      </w:r>
      <w:r>
        <w:rPr>
          <w:spacing w:val="47"/>
        </w:rPr>
        <w:t xml:space="preserve"> </w:t>
      </w:r>
      <w:r>
        <w:rPr>
          <w:rFonts w:hint="eastAsia"/>
          <w:spacing w:val="-11"/>
          <w:lang w:val="en-US" w:eastAsia="zh-CN"/>
        </w:rPr>
        <w:t>西 卫 分 院</w:t>
      </w:r>
    </w:p>
    <w:p w14:paraId="10B0106A">
      <w:pPr>
        <w:spacing w:line="307" w:lineRule="auto"/>
        <w:rPr>
          <w:rFonts w:ascii="Arial"/>
          <w:sz w:val="21"/>
        </w:rPr>
      </w:pPr>
    </w:p>
    <w:p w14:paraId="792A4187">
      <w:pPr>
        <w:spacing w:line="307" w:lineRule="auto"/>
        <w:rPr>
          <w:rFonts w:ascii="Arial"/>
          <w:sz w:val="21"/>
        </w:rPr>
      </w:pPr>
    </w:p>
    <w:p w14:paraId="7541B299">
      <w:pPr>
        <w:pStyle w:val="2"/>
        <w:spacing w:before="126" w:line="195" w:lineRule="auto"/>
        <w:ind w:firstLine="2880" w:firstLineChars="900"/>
      </w:pPr>
      <w:r>
        <w:rPr>
          <w:spacing w:val="-10"/>
        </w:rPr>
        <w:t>2</w:t>
      </w:r>
      <w:r>
        <w:rPr>
          <w:spacing w:val="57"/>
        </w:rPr>
        <w:t xml:space="preserve"> </w:t>
      </w:r>
      <w:r>
        <w:rPr>
          <w:spacing w:val="-10"/>
        </w:rPr>
        <w:t>0</w:t>
      </w:r>
      <w:r>
        <w:rPr>
          <w:spacing w:val="54"/>
        </w:rPr>
        <w:t xml:space="preserve"> </w:t>
      </w:r>
      <w:r>
        <w:rPr>
          <w:spacing w:val="-10"/>
        </w:rPr>
        <w:t>2</w:t>
      </w:r>
      <w:r>
        <w:rPr>
          <w:spacing w:val="67"/>
        </w:rPr>
        <w:t xml:space="preserve"> </w:t>
      </w:r>
      <w:r>
        <w:rPr>
          <w:spacing w:val="-10"/>
        </w:rPr>
        <w:t>4</w:t>
      </w:r>
      <w:r>
        <w:rPr>
          <w:spacing w:val="50"/>
        </w:rPr>
        <w:t xml:space="preserve"> </w:t>
      </w:r>
      <w:r>
        <w:rPr>
          <w:spacing w:val="-10"/>
        </w:rPr>
        <w:t>年</w:t>
      </w:r>
      <w:r>
        <w:rPr>
          <w:spacing w:val="53"/>
        </w:rPr>
        <w:t xml:space="preserve"> </w:t>
      </w:r>
      <w:r>
        <w:rPr>
          <w:spacing w:val="-10"/>
        </w:rPr>
        <w:t>度</w:t>
      </w:r>
      <w:r>
        <w:rPr>
          <w:spacing w:val="54"/>
        </w:rPr>
        <w:t xml:space="preserve"> </w:t>
      </w:r>
      <w:r>
        <w:rPr>
          <w:spacing w:val="-10"/>
        </w:rPr>
        <w:t>单</w:t>
      </w:r>
      <w:r>
        <w:rPr>
          <w:spacing w:val="47"/>
        </w:rPr>
        <w:t xml:space="preserve"> </w:t>
      </w:r>
      <w:r>
        <w:rPr>
          <w:spacing w:val="-10"/>
        </w:rPr>
        <w:t>位</w:t>
      </w:r>
      <w:r>
        <w:rPr>
          <w:rFonts w:hint="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eastAsia="zh-CN"/>
        </w:rPr>
        <w:t>调</w:t>
      </w:r>
      <w:r>
        <w:rPr>
          <w:rFonts w:hint="eastAsia"/>
          <w:spacing w:val="-10"/>
          <w:lang w:val="en-US" w:eastAsia="zh-CN"/>
        </w:rPr>
        <w:t xml:space="preserve"> </w:t>
      </w:r>
      <w:r>
        <w:rPr>
          <w:rFonts w:hint="eastAsia"/>
          <w:spacing w:val="-10"/>
          <w:lang w:eastAsia="zh-CN"/>
        </w:rPr>
        <w:t>整</w:t>
      </w:r>
      <w:r>
        <w:rPr>
          <w:spacing w:val="44"/>
        </w:rPr>
        <w:t xml:space="preserve"> </w:t>
      </w:r>
      <w:r>
        <w:rPr>
          <w:spacing w:val="-10"/>
        </w:rPr>
        <w:t>预</w:t>
      </w:r>
      <w:r>
        <w:rPr>
          <w:spacing w:val="55"/>
        </w:rPr>
        <w:t xml:space="preserve"> </w:t>
      </w:r>
      <w:r>
        <w:rPr>
          <w:spacing w:val="-10"/>
        </w:rPr>
        <w:t>算</w:t>
      </w:r>
      <w:r>
        <w:rPr>
          <w:spacing w:val="46"/>
        </w:rPr>
        <w:t xml:space="preserve"> </w:t>
      </w:r>
      <w:r>
        <w:rPr>
          <w:spacing w:val="-10"/>
        </w:rPr>
        <w:t>公</w:t>
      </w:r>
      <w:r>
        <w:rPr>
          <w:spacing w:val="52"/>
        </w:rPr>
        <w:t xml:space="preserve"> </w:t>
      </w:r>
      <w:r>
        <w:rPr>
          <w:spacing w:val="-10"/>
        </w:rPr>
        <w:t>开</w:t>
      </w:r>
    </w:p>
    <w:p w14:paraId="0F210562">
      <w:pPr>
        <w:spacing w:line="195" w:lineRule="auto"/>
        <w:sectPr>
          <w:headerReference r:id="rId5" w:type="default"/>
          <w:footerReference r:id="rId6" w:type="default"/>
          <w:pgSz w:w="11900" w:h="16840"/>
          <w:pgMar w:top="400" w:right="0" w:bottom="0" w:left="0" w:header="0" w:footer="0" w:gutter="0"/>
          <w:pgNumType w:fmt="numberInDash"/>
          <w:cols w:space="720" w:num="1"/>
        </w:sectPr>
      </w:pPr>
    </w:p>
    <w:p w14:paraId="66D1C922">
      <w:pPr>
        <w:spacing w:line="456" w:lineRule="auto"/>
        <w:rPr>
          <w:rFonts w:ascii="Arial"/>
          <w:sz w:val="21"/>
        </w:rPr>
      </w:pPr>
    </w:p>
    <w:p w14:paraId="77F41F44">
      <w:pPr>
        <w:spacing w:before="143" w:line="223" w:lineRule="auto"/>
        <w:ind w:left="5396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05186CA2">
      <w:pPr>
        <w:spacing w:line="267" w:lineRule="auto"/>
        <w:rPr>
          <w:rFonts w:ascii="Arial"/>
          <w:sz w:val="21"/>
        </w:rPr>
      </w:pPr>
    </w:p>
    <w:p w14:paraId="0518D371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62296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24DFB3A9">
          <w:pPr>
            <w:tabs>
              <w:tab w:val="right" w:leader="dot" w:pos="10579"/>
            </w:tabs>
            <w:spacing w:before="85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bookmarkStart w:id="1" w:name="bookmark2"/>
          <w:bookmarkEnd w:id="1"/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01D7DA75">
          <w:pPr>
            <w:tabs>
              <w:tab w:val="right" w:leader="dot" w:pos="10579"/>
            </w:tabs>
            <w:spacing w:before="186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bookmarkStart w:id="2" w:name="bookmark3"/>
          <w:bookmarkEnd w:id="2"/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7"/>
              <w:sz w:val="26"/>
              <w:szCs w:val="26"/>
            </w:rPr>
            <w:t>一、本单位职责</w:t>
          </w:r>
          <w:r>
            <w:rPr>
              <w:rFonts w:ascii="仿宋" w:hAnsi="仿宋" w:eastAsia="仿宋" w:cs="仿宋"/>
              <w:spacing w:val="-11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CFF64ED">
          <w:pPr>
            <w:tabs>
              <w:tab w:val="right" w:leader="dot" w:pos="10579"/>
            </w:tabs>
            <w:spacing w:before="189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bookmarkStart w:id="3" w:name="bookmark4"/>
          <w:bookmarkEnd w:id="3"/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6076A80D">
          <w:pPr>
            <w:tabs>
              <w:tab w:val="right" w:leader="dot" w:pos="10579"/>
            </w:tabs>
            <w:spacing w:before="186" w:line="221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bookmarkStart w:id="4" w:name="bookmark5"/>
          <w:bookmarkEnd w:id="4"/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val="en-US" w:eastAsia="zh-CN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2024年单位</w:t>
          </w:r>
          <w:r>
            <w:rPr>
              <w:rFonts w:hint="eastAsia" w:ascii="仿宋" w:hAnsi="仿宋" w:eastAsia="仿宋" w:cs="仿宋"/>
              <w:b/>
              <w:bCs/>
              <w:spacing w:val="-4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预算报表</w:t>
          </w:r>
          <w:r>
            <w:rPr>
              <w:rFonts w:ascii="仿宋" w:hAnsi="仿宋" w:eastAsia="仿宋" w:cs="仿宋"/>
              <w:spacing w:val="-7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68AB162B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bookmarkStart w:id="5" w:name="bookmark6"/>
          <w:bookmarkEnd w:id="5"/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表一</w:t>
          </w:r>
          <w:r>
            <w:rPr>
              <w:rFonts w:hint="eastAsia" w:ascii="仿宋" w:hAnsi="仿宋" w:eastAsia="仿宋" w:cs="仿宋"/>
              <w:spacing w:val="-2"/>
              <w:sz w:val="26"/>
              <w:szCs w:val="26"/>
            </w:rPr>
            <w:t>单位调整预算报表（部门经济分类）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1D2DAA46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bookmarkStart w:id="6" w:name="bookmark7"/>
          <w:bookmarkEnd w:id="6"/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表二</w:t>
          </w:r>
          <w:r>
            <w:rPr>
              <w:rFonts w:hint="eastAsia" w:ascii="仿宋" w:hAnsi="仿宋" w:eastAsia="仿宋" w:cs="仿宋"/>
              <w:spacing w:val="-2"/>
              <w:sz w:val="26"/>
              <w:szCs w:val="26"/>
            </w:rPr>
            <w:t>单位调整预算报表（政府经济分类）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11F62C10">
          <w:pPr>
            <w:tabs>
              <w:tab w:val="right" w:leader="dot" w:pos="10579"/>
            </w:tabs>
            <w:spacing w:before="192" w:line="221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bookmarkStart w:id="7" w:name="bookmark19"/>
          <w:bookmarkEnd w:id="7"/>
          <w:bookmarkStart w:id="8" w:name="bookmark8"/>
          <w:bookmarkEnd w:id="8"/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2024年度单位</w:t>
          </w:r>
          <w:r>
            <w:rPr>
              <w:rFonts w:hint="eastAsia" w:ascii="仿宋" w:hAnsi="仿宋" w:eastAsia="仿宋" w:cs="仿宋"/>
              <w:b/>
              <w:bCs/>
              <w:spacing w:val="-4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预算情况说明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b/>
              <w:bCs/>
              <w:spacing w:val="-10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  <w:p w14:paraId="2F708EF7">
          <w:pPr>
            <w:tabs>
              <w:tab w:val="right" w:leader="dot" w:pos="10579"/>
            </w:tabs>
            <w:spacing w:before="189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bookmarkStart w:id="9" w:name="bookmark20"/>
          <w:bookmarkEnd w:id="9"/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一、单位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预算收支情况</w:t>
          </w:r>
          <w:r>
            <w:rPr>
              <w:rFonts w:hint="eastAsia" w:ascii="仿宋" w:hAnsi="仿宋" w:eastAsia="仿宋" w:cs="仿宋"/>
              <w:spacing w:val="-4"/>
              <w:sz w:val="26"/>
              <w:szCs w:val="26"/>
              <w:lang w:eastAsia="zh-CN"/>
            </w:rPr>
            <w:t>说明</w:t>
          </w:r>
          <w:r>
            <w:rPr>
              <w:rFonts w:ascii="仿宋" w:hAnsi="仿宋" w:eastAsia="仿宋" w:cs="仿宋"/>
              <w:spacing w:val="-3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89FF65F">
          <w:pPr>
            <w:tabs>
              <w:tab w:val="right" w:leader="dot" w:pos="10579"/>
            </w:tabs>
            <w:spacing w:before="188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bookmarkStart w:id="10" w:name="bookmark21"/>
          <w:bookmarkEnd w:id="10"/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</w:t>
          </w:r>
          <w:r>
            <w:rPr>
              <w:rFonts w:hint="eastAsia" w:ascii="仿宋" w:hAnsi="仿宋" w:eastAsia="仿宋" w:cs="仿宋"/>
              <w:spacing w:val="-3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111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40D6A7E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bookmarkStart w:id="11" w:name="bookmark22"/>
          <w:bookmarkEnd w:id="11"/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</w:t>
          </w:r>
          <w:r>
            <w:rPr>
              <w:rFonts w:hint="eastAsia" w:ascii="仿宋" w:hAnsi="仿宋" w:eastAsia="仿宋" w:cs="仿宋"/>
              <w:spacing w:val="-3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预算情况说明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111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89BD64D">
          <w:pPr>
            <w:tabs>
              <w:tab w:val="right" w:leader="dot" w:pos="10579"/>
            </w:tabs>
            <w:spacing w:before="188" w:line="222" w:lineRule="auto"/>
            <w:ind w:left="1887"/>
            <w:rPr>
              <w:rFonts w:ascii="仿宋" w:hAnsi="仿宋" w:eastAsia="仿宋" w:cs="仿宋"/>
              <w:sz w:val="26"/>
              <w:szCs w:val="26"/>
            </w:rPr>
          </w:pPr>
          <w:bookmarkStart w:id="12" w:name="bookmark23"/>
          <w:bookmarkEnd w:id="12"/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</w:t>
          </w:r>
          <w:r>
            <w:rPr>
              <w:rFonts w:hint="eastAsia" w:ascii="仿宋" w:hAnsi="仿宋" w:eastAsia="仿宋" w:cs="仿宋"/>
              <w:spacing w:val="-3"/>
              <w:sz w:val="26"/>
              <w:szCs w:val="26"/>
              <w:lang w:eastAsia="zh-CN"/>
            </w:rPr>
            <w:t>调整</w:t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预算总体情况说明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38ED556D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bookmarkStart w:id="13" w:name="bookmark24"/>
          <w:bookmarkEnd w:id="13"/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五、一般公共预算支出情况说明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06E46214">
          <w:pPr>
            <w:tabs>
              <w:tab w:val="right" w:leader="dot" w:pos="10579"/>
            </w:tabs>
            <w:spacing w:before="187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bookmarkStart w:id="14" w:name="bookmark25"/>
          <w:bookmarkEnd w:id="14"/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六、一般公共预算基本支出情况说明</w:t>
          </w:r>
          <w:r>
            <w:rPr>
              <w:rFonts w:ascii="仿宋" w:hAnsi="仿宋" w:eastAsia="仿宋" w:cs="仿宋"/>
              <w:spacing w:val="-8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4052C34">
          <w:pPr>
            <w:tabs>
              <w:tab w:val="right" w:leader="dot" w:pos="10579"/>
            </w:tabs>
            <w:spacing w:before="188" w:line="223" w:lineRule="auto"/>
            <w:ind w:left="1862"/>
            <w:rPr>
              <w:rFonts w:ascii="仿宋" w:hAnsi="仿宋" w:eastAsia="仿宋" w:cs="仿宋"/>
              <w:sz w:val="26"/>
              <w:szCs w:val="26"/>
            </w:rPr>
          </w:pPr>
          <w:bookmarkStart w:id="15" w:name="bookmark26"/>
          <w:bookmarkEnd w:id="15"/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七、“三公”经费增减变动原因说明</w:t>
          </w:r>
          <w:r>
            <w:rPr>
              <w:rFonts w:ascii="仿宋" w:hAnsi="仿宋" w:eastAsia="仿宋" w:cs="仿宋"/>
              <w:spacing w:val="-7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21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1FD75C4">
          <w:pPr>
            <w:tabs>
              <w:tab w:val="right" w:leader="dot" w:pos="10579"/>
            </w:tabs>
            <w:spacing w:before="186" w:line="221" w:lineRule="auto"/>
            <w:ind w:left="1856"/>
            <w:rPr>
              <w:rFonts w:ascii="仿宋" w:hAnsi="仿宋" w:eastAsia="仿宋" w:cs="仿宋"/>
              <w:sz w:val="26"/>
              <w:szCs w:val="26"/>
            </w:rPr>
          </w:pPr>
          <w:bookmarkStart w:id="16" w:name="bookmark27"/>
          <w:bookmarkEnd w:id="16"/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八、机关运行经费增减变动原因说明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2F6B09F">
          <w:pPr>
            <w:tabs>
              <w:tab w:val="right" w:leader="dot" w:pos="10579"/>
            </w:tabs>
            <w:spacing w:before="190" w:line="222" w:lineRule="auto"/>
            <w:ind w:left="1866"/>
            <w:rPr>
              <w:rFonts w:ascii="仿宋" w:hAnsi="仿宋" w:eastAsia="仿宋" w:cs="仿宋"/>
              <w:sz w:val="26"/>
              <w:szCs w:val="26"/>
            </w:rPr>
          </w:pPr>
          <w:bookmarkStart w:id="17" w:name="bookmark28"/>
          <w:bookmarkEnd w:id="17"/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九、政府采购情况</w:t>
          </w:r>
          <w:r>
            <w:rPr>
              <w:rFonts w:ascii="仿宋" w:hAnsi="仿宋" w:eastAsia="仿宋" w:cs="仿宋"/>
              <w:spacing w:val="-7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hint="eastAsia" w:ascii="仿宋" w:hAnsi="仿宋" w:eastAsia="仿宋" w:cs="仿宋"/>
              <w:spacing w:val="-96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58634B1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hint="eastAsia" w:ascii="仿宋" w:hAnsi="仿宋" w:eastAsia="仿宋" w:cs="仿宋"/>
              <w:sz w:val="26"/>
              <w:szCs w:val="26"/>
            </w:rPr>
          </w:pPr>
          <w:bookmarkStart w:id="18" w:name="bookmark29"/>
          <w:bookmarkEnd w:id="18"/>
          <w:r>
            <w:fldChar w:fldCharType="begin"/>
          </w:r>
          <w:r>
            <w:instrText xml:space="preserve"> HYPERLINK \l "bookmark29"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十、绩效管理情况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hint="eastAsia" w:ascii="仿宋" w:hAnsi="仿宋" w:eastAsia="仿宋" w:cs="仿宋"/>
              <w:spacing w:val="-8"/>
              <w:sz w:val="26"/>
              <w:szCs w:val="26"/>
              <w:lang w:val="en-US" w:eastAsia="zh-CN"/>
            </w:rPr>
            <w:t>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</w:sdtContent>
    </w:sdt>
    <w:p w14:paraId="3EEC747E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val="en-US"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十一、国有资产占有使用情况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0D1D2491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十二、其他说明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4142754A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（一）政府购买服务指导性目录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5714C4D0">
      <w:pPr>
        <w:tabs>
          <w:tab w:val="right" w:leader="dot" w:pos="10579"/>
        </w:tabs>
        <w:spacing w:before="187" w:line="222" w:lineRule="auto"/>
        <w:ind w:left="1864"/>
        <w:rPr>
          <w:rFonts w:hint="eastAsia" w:ascii="仿宋" w:hAnsi="仿宋" w:eastAsia="仿宋" w:cs="仿宋"/>
          <w:sz w:val="26"/>
          <w:szCs w:val="26"/>
          <w:lang w:eastAsia="zh-CN"/>
        </w:rPr>
      </w:pPr>
      <w:r>
        <w:rPr>
          <w:rFonts w:hint="eastAsia" w:ascii="仿宋" w:hAnsi="仿宋" w:eastAsia="仿宋" w:cs="仿宋"/>
          <w:sz w:val="26"/>
          <w:szCs w:val="26"/>
        </w:rPr>
        <w:t xml:space="preserve">（二）其他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6</w:t>
      </w:r>
    </w:p>
    <w:p w14:paraId="511B3BA2">
      <w:pPr>
        <w:tabs>
          <w:tab w:val="right" w:leader="dot" w:pos="10579"/>
        </w:tabs>
        <w:spacing w:before="187" w:line="222" w:lineRule="auto"/>
        <w:ind w:firstLine="1518" w:firstLineChars="600"/>
        <w:rPr>
          <w:rFonts w:hint="eastAsia" w:ascii="仿宋" w:hAnsi="仿宋" w:eastAsia="仿宋" w:cs="仿宋"/>
          <w:sz w:val="26"/>
          <w:szCs w:val="26"/>
          <w:lang w:eastAsia="zh-CN"/>
        </w:rPr>
        <w:sectPr>
          <w:headerReference r:id="rId7" w:type="default"/>
          <w:footerReference r:id="rId8" w:type="default"/>
          <w:pgSz w:w="11900" w:h="16840"/>
          <w:pgMar w:top="400" w:right="0" w:bottom="0" w:left="0" w:header="0" w:footer="0" w:gutter="0"/>
          <w:pgNumType w:fmt="numberInDash" w:start="1"/>
          <w:cols w:space="720" w:num="1"/>
        </w:sectPr>
      </w:pPr>
      <w:r>
        <w:rPr>
          <w:rFonts w:hint="eastAsia" w:ascii="仿宋" w:hAnsi="仿宋" w:eastAsia="仿宋" w:cs="仿宋"/>
          <w:b/>
          <w:bCs/>
          <w:spacing w:val="-4"/>
          <w:sz w:val="26"/>
          <w:szCs w:val="26"/>
        </w:rPr>
        <w:t xml:space="preserve">第四部分  名词解释 </w:t>
      </w:r>
      <w:r>
        <w:rPr>
          <w:rFonts w:hint="eastAsia" w:ascii="仿宋" w:hAnsi="仿宋" w:eastAsia="仿宋" w:cs="仿宋"/>
          <w:sz w:val="26"/>
          <w:szCs w:val="26"/>
        </w:rPr>
        <w:tab/>
      </w:r>
      <w:r>
        <w:rPr>
          <w:rFonts w:hint="eastAsia" w:ascii="仿宋" w:hAnsi="仿宋" w:eastAsia="仿宋" w:cs="仿宋"/>
          <w:sz w:val="26"/>
          <w:szCs w:val="26"/>
        </w:rPr>
        <w:t xml:space="preserve"> </w:t>
      </w:r>
      <w:r>
        <w:rPr>
          <w:rFonts w:hint="eastAsia" w:ascii="仿宋" w:hAnsi="仿宋" w:eastAsia="仿宋" w:cs="仿宋"/>
          <w:sz w:val="26"/>
          <w:szCs w:val="26"/>
          <w:lang w:val="en-US" w:eastAsia="zh-CN"/>
        </w:rPr>
        <w:t>7</w:t>
      </w:r>
    </w:p>
    <w:p w14:paraId="5352B1BC">
      <w:pPr>
        <w:spacing w:line="289" w:lineRule="auto"/>
        <w:rPr>
          <w:rFonts w:ascii="Arial"/>
          <w:sz w:val="21"/>
        </w:rPr>
      </w:pPr>
    </w:p>
    <w:p w14:paraId="3501A75C">
      <w:pPr>
        <w:spacing w:before="81" w:line="222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bookmarkStart w:id="19" w:name="bookmark35"/>
      <w:bookmarkEnd w:id="19"/>
      <w:bookmarkStart w:id="20" w:name="bookmark2"/>
      <w:bookmarkEnd w:id="20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21648789">
      <w:pPr>
        <w:spacing w:before="203" w:line="222" w:lineRule="auto"/>
        <w:ind w:left="1304"/>
        <w:outlineLvl w:val="1"/>
        <w:rPr>
          <w:rFonts w:ascii="黑体" w:hAnsi="黑体" w:eastAsia="黑体" w:cs="黑体"/>
          <w:sz w:val="25"/>
          <w:szCs w:val="25"/>
        </w:rPr>
      </w:pPr>
      <w:bookmarkStart w:id="21" w:name="bookmark3"/>
      <w:bookmarkEnd w:id="21"/>
      <w:r>
        <w:rPr>
          <w:rFonts w:ascii="黑体" w:hAnsi="黑体" w:eastAsia="黑体" w:cs="黑体"/>
          <w:spacing w:val="-1"/>
          <w:sz w:val="25"/>
          <w:szCs w:val="25"/>
        </w:rPr>
        <w:t>一、本单位职责</w:t>
      </w:r>
    </w:p>
    <w:p w14:paraId="3456FDF0">
      <w:pPr>
        <w:spacing w:before="275" w:line="311" w:lineRule="auto"/>
        <w:ind w:left="1308" w:right="1411" w:firstLine="511"/>
        <w:jc w:val="both"/>
        <w:rPr>
          <w:rFonts w:ascii="仿宋" w:hAnsi="仿宋" w:eastAsia="仿宋" w:cs="仿宋"/>
          <w:sz w:val="25"/>
          <w:szCs w:val="25"/>
        </w:rPr>
      </w:pPr>
      <w:bookmarkStart w:id="22" w:name="bookmark4"/>
      <w:bookmarkEnd w:id="22"/>
      <w:r>
        <w:rPr>
          <w:rFonts w:ascii="仿宋" w:hAnsi="仿宋" w:eastAsia="仿宋" w:cs="仿宋"/>
          <w:spacing w:val="1"/>
          <w:sz w:val="25"/>
          <w:szCs w:val="25"/>
        </w:rPr>
        <w:t>我单位的职责是：1、综合提供预防、保健、农村疾病控制等服务；基本公共卫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生服务。2.执行儿童计划免疫，开展慢性非传染性疾病的防治工作；做好农村孕产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妇和儿童保健工作，提高住院分娩率，改善儿童营养状况。3.积极做好新型农村合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作医疗服务。本单位无下级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预算单位，本级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预算即为汇总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预算。</w:t>
      </w:r>
    </w:p>
    <w:p w14:paraId="74415FB3">
      <w:pPr>
        <w:spacing w:before="188" w:line="223" w:lineRule="auto"/>
        <w:ind w:left="1304"/>
        <w:outlineLvl w:val="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6C1B0796">
      <w:pPr>
        <w:spacing w:before="131" w:line="308" w:lineRule="auto"/>
        <w:ind w:left="1308" w:right="1537" w:firstLine="511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我院设有预防保健科、全科医疗科、公共卫生科、收费室、药房等科室，编制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床位6张。我单位为全额拨款事业单位，编制人数为8人，财政供养在职人员共计8</w:t>
      </w:r>
      <w:r>
        <w:rPr>
          <w:rFonts w:ascii="仿宋" w:hAnsi="仿宋" w:eastAsia="仿宋" w:cs="仿宋"/>
          <w:spacing w:val="7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人，退休1人，遗属2人。本单位无下级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预算单位，本级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预算公开即汇总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预算。</w:t>
      </w:r>
    </w:p>
    <w:p w14:paraId="1E4C5C3E">
      <w:pPr>
        <w:spacing w:line="222" w:lineRule="auto"/>
        <w:rPr>
          <w:rFonts w:ascii="仿宋" w:hAnsi="仿宋" w:eastAsia="仿宋" w:cs="仿宋"/>
          <w:sz w:val="25"/>
          <w:szCs w:val="25"/>
        </w:rPr>
        <w:sectPr>
          <w:headerReference r:id="rId9" w:type="default"/>
          <w:footerReference r:id="rId10" w:type="default"/>
          <w:pgSz w:w="11900" w:h="16840"/>
          <w:pgMar w:top="611" w:right="0" w:bottom="312" w:left="0" w:header="357" w:footer="134" w:gutter="0"/>
          <w:pgNumType w:fmt="numberInDash" w:start="1"/>
          <w:cols w:space="720" w:num="1"/>
        </w:sectPr>
      </w:pPr>
    </w:p>
    <w:p w14:paraId="36AC5E38">
      <w:pPr>
        <w:spacing w:line="468" w:lineRule="auto"/>
        <w:rPr>
          <w:rFonts w:ascii="Arial"/>
          <w:sz w:val="21"/>
        </w:rPr>
      </w:pPr>
    </w:p>
    <w:p w14:paraId="63B90B29">
      <w:pPr>
        <w:spacing w:before="81" w:line="223" w:lineRule="auto"/>
        <w:ind w:left="4246"/>
        <w:outlineLvl w:val="0"/>
        <w:rPr>
          <w:rFonts w:ascii="黑体" w:hAnsi="黑体" w:eastAsia="黑体" w:cs="黑体"/>
          <w:sz w:val="25"/>
          <w:szCs w:val="25"/>
        </w:rPr>
      </w:pPr>
      <w:bookmarkStart w:id="23" w:name="bookmark5"/>
      <w:bookmarkEnd w:id="23"/>
      <w:bookmarkStart w:id="24" w:name="bookmark36"/>
      <w:bookmarkEnd w:id="24"/>
      <w:r>
        <w:rPr>
          <w:rFonts w:ascii="黑体" w:hAnsi="黑体" w:eastAsia="黑体" w:cs="黑体"/>
          <w:spacing w:val="1"/>
          <w:sz w:val="25"/>
          <w:szCs w:val="25"/>
        </w:rPr>
        <w:t>第二部分 2024年单位</w:t>
      </w:r>
      <w:r>
        <w:rPr>
          <w:rFonts w:hint="eastAsia" w:ascii="黑体" w:hAnsi="黑体" w:eastAsia="黑体" w:cs="黑体"/>
          <w:spacing w:val="1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pacing w:val="1"/>
          <w:sz w:val="25"/>
          <w:szCs w:val="25"/>
        </w:rPr>
        <w:t>预算报表</w:t>
      </w:r>
    </w:p>
    <w:p w14:paraId="7B8A3180">
      <w:pPr>
        <w:rPr>
          <w:rFonts w:ascii="Arial" w:hAnsi="Arial" w:eastAsia="Arial" w:cs="Arial"/>
          <w:sz w:val="21"/>
          <w:szCs w:val="21"/>
        </w:rPr>
      </w:pPr>
    </w:p>
    <w:p w14:paraId="7FC831FA">
      <w:pPr>
        <w:rPr>
          <w:rFonts w:hint="default" w:ascii="Arial" w:hAnsi="Arial" w:eastAsia="宋体" w:cs="Arial"/>
          <w:sz w:val="21"/>
          <w:szCs w:val="21"/>
          <w:lang w:val="en-US" w:eastAsia="zh-CN"/>
        </w:rPr>
        <w:sectPr>
          <w:headerReference r:id="rId11" w:type="default"/>
          <w:footerReference r:id="rId12" w:type="default"/>
          <w:pgSz w:w="11900" w:h="16840"/>
          <w:pgMar w:top="611" w:right="0" w:bottom="312" w:left="0" w:header="357" w:footer="135" w:gutter="0"/>
          <w:pgNumType w:fmt="numberInDash"/>
          <w:cols w:space="720" w:num="1"/>
        </w:sectPr>
      </w:pPr>
      <w:r>
        <w:rPr>
          <w:rFonts w:hint="eastAsia" w:eastAsia="宋体" w:cs="Arial"/>
          <w:sz w:val="21"/>
          <w:szCs w:val="21"/>
          <w:lang w:val="en-US" w:eastAsia="zh-CN"/>
        </w:rPr>
        <w:t xml:space="preserve">                        见附件1、附件2</w:t>
      </w:r>
    </w:p>
    <w:p w14:paraId="59018E46">
      <w:pPr>
        <w:spacing w:line="305" w:lineRule="auto"/>
        <w:rPr>
          <w:rFonts w:ascii="Arial"/>
          <w:sz w:val="21"/>
        </w:rPr>
      </w:pPr>
    </w:p>
    <w:p w14:paraId="0B1D2C09">
      <w:pPr>
        <w:spacing w:line="306" w:lineRule="auto"/>
        <w:rPr>
          <w:rFonts w:ascii="Arial"/>
          <w:sz w:val="21"/>
        </w:rPr>
      </w:pPr>
    </w:p>
    <w:p w14:paraId="425B5756">
      <w:pPr>
        <w:spacing w:before="81" w:line="222" w:lineRule="auto"/>
        <w:ind w:left="3868"/>
        <w:outlineLvl w:val="0"/>
        <w:rPr>
          <w:rFonts w:ascii="黑体" w:hAnsi="黑体" w:eastAsia="黑体" w:cs="黑体"/>
          <w:sz w:val="25"/>
          <w:szCs w:val="25"/>
        </w:rPr>
      </w:pPr>
      <w:bookmarkStart w:id="25" w:name="bookmark19"/>
      <w:bookmarkEnd w:id="25"/>
      <w:r>
        <w:rPr>
          <w:rFonts w:ascii="黑体" w:hAnsi="黑体" w:eastAsia="黑体" w:cs="黑体"/>
          <w:spacing w:val="1"/>
          <w:sz w:val="25"/>
          <w:szCs w:val="25"/>
        </w:rPr>
        <w:t>第三部分 2024年度单位</w:t>
      </w:r>
      <w:r>
        <w:rPr>
          <w:rFonts w:hint="eastAsia" w:ascii="黑体" w:hAnsi="黑体" w:eastAsia="黑体" w:cs="黑体"/>
          <w:spacing w:val="1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pacing w:val="1"/>
          <w:sz w:val="25"/>
          <w:szCs w:val="25"/>
        </w:rPr>
        <w:t>预算情况说明</w:t>
      </w:r>
    </w:p>
    <w:p w14:paraId="54AC8721">
      <w:pPr>
        <w:spacing w:line="300" w:lineRule="auto"/>
        <w:rPr>
          <w:rFonts w:ascii="Arial"/>
          <w:sz w:val="21"/>
        </w:rPr>
      </w:pPr>
    </w:p>
    <w:p w14:paraId="5FE44D5D">
      <w:pPr>
        <w:spacing w:before="81" w:line="223" w:lineRule="auto"/>
        <w:ind w:left="1298"/>
        <w:outlineLvl w:val="1"/>
        <w:rPr>
          <w:rFonts w:ascii="黑体" w:hAnsi="黑体" w:eastAsia="黑体" w:cs="黑体"/>
          <w:sz w:val="25"/>
          <w:szCs w:val="25"/>
        </w:rPr>
      </w:pPr>
      <w:bookmarkStart w:id="26" w:name="bookmark20"/>
      <w:bookmarkEnd w:id="26"/>
      <w:r>
        <w:rPr>
          <w:rFonts w:ascii="黑体" w:hAnsi="黑体" w:eastAsia="黑体" w:cs="黑体"/>
          <w:spacing w:val="1"/>
          <w:sz w:val="25"/>
          <w:szCs w:val="25"/>
        </w:rPr>
        <w:t>一、单位</w:t>
      </w:r>
      <w:r>
        <w:rPr>
          <w:rFonts w:hint="eastAsia" w:ascii="黑体" w:hAnsi="黑体" w:eastAsia="黑体" w:cs="黑体"/>
          <w:spacing w:val="1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pacing w:val="1"/>
          <w:sz w:val="25"/>
          <w:szCs w:val="25"/>
        </w:rPr>
        <w:t>预算收支数据变动情况</w:t>
      </w:r>
    </w:p>
    <w:p w14:paraId="2565BDEE">
      <w:pPr>
        <w:spacing w:before="130" w:line="302" w:lineRule="auto"/>
        <w:ind w:left="1339" w:right="1405" w:firstLine="46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2024年度石楼县医疗集团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2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西卫分院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年初</w:t>
      </w:r>
      <w:r>
        <w:rPr>
          <w:rFonts w:ascii="仿宋" w:hAnsi="仿宋" w:eastAsia="仿宋" w:cs="仿宋"/>
          <w:spacing w:val="1"/>
          <w:sz w:val="25"/>
          <w:szCs w:val="25"/>
        </w:rPr>
        <w:t>预算收入总计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95.75</w:t>
      </w:r>
      <w:r>
        <w:rPr>
          <w:rFonts w:ascii="仿宋" w:hAnsi="仿宋" w:eastAsia="仿宋" w:cs="仿宋"/>
          <w:spacing w:val="1"/>
          <w:sz w:val="25"/>
          <w:szCs w:val="25"/>
        </w:rPr>
        <w:t>万元，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调整预算后收入总计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221.78万元</w:t>
      </w:r>
      <w:r>
        <w:rPr>
          <w:rFonts w:ascii="仿宋" w:hAnsi="仿宋" w:eastAsia="仿宋" w:cs="仿宋"/>
          <w:spacing w:val="2"/>
          <w:sz w:val="25"/>
          <w:szCs w:val="25"/>
        </w:rPr>
        <w:t>；本年单位</w:t>
      </w:r>
      <w:r>
        <w:rPr>
          <w:rFonts w:hint="eastAsia" w:ascii="仿宋" w:hAnsi="仿宋" w:eastAsia="仿宋" w:cs="仿宋"/>
          <w:spacing w:val="2"/>
          <w:sz w:val="25"/>
          <w:szCs w:val="25"/>
          <w:lang w:eastAsia="zh-CN"/>
        </w:rPr>
        <w:t>年初</w:t>
      </w:r>
      <w:r>
        <w:rPr>
          <w:rFonts w:ascii="仿宋" w:hAnsi="仿宋" w:eastAsia="仿宋" w:cs="仿宋"/>
          <w:spacing w:val="2"/>
          <w:sz w:val="25"/>
          <w:szCs w:val="25"/>
        </w:rPr>
        <w:t>预算支出总计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95.75</w:t>
      </w:r>
      <w:r>
        <w:rPr>
          <w:rFonts w:ascii="仿宋" w:hAnsi="仿宋" w:eastAsia="仿宋" w:cs="仿宋"/>
          <w:spacing w:val="1"/>
          <w:sz w:val="25"/>
          <w:szCs w:val="25"/>
        </w:rPr>
        <w:t>万元，</w:t>
      </w:r>
      <w:r>
        <w:rPr>
          <w:rFonts w:hint="eastAsia" w:ascii="仿宋" w:hAnsi="仿宋" w:eastAsia="仿宋" w:cs="仿宋"/>
          <w:spacing w:val="1"/>
          <w:sz w:val="25"/>
          <w:szCs w:val="25"/>
        </w:rPr>
        <w:t>调整预算后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支出</w:t>
      </w:r>
      <w:r>
        <w:rPr>
          <w:rFonts w:hint="eastAsia" w:ascii="仿宋" w:hAnsi="仿宋" w:eastAsia="仿宋" w:cs="仿宋"/>
          <w:spacing w:val="1"/>
          <w:sz w:val="25"/>
          <w:szCs w:val="25"/>
        </w:rPr>
        <w:t>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221.78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</w:t>
      </w:r>
      <w:r>
        <w:rPr>
          <w:rFonts w:ascii="仿宋" w:hAnsi="仿宋" w:eastAsia="仿宋" w:cs="仿宋"/>
          <w:spacing w:val="1"/>
          <w:sz w:val="25"/>
          <w:szCs w:val="25"/>
        </w:rPr>
        <w:t>。</w:t>
      </w:r>
    </w:p>
    <w:p w14:paraId="68DF5253">
      <w:pPr>
        <w:spacing w:before="43" w:line="222" w:lineRule="auto"/>
        <w:ind w:left="1298"/>
        <w:outlineLvl w:val="1"/>
        <w:rPr>
          <w:rFonts w:ascii="黑体" w:hAnsi="黑体" w:eastAsia="黑体" w:cs="黑体"/>
          <w:sz w:val="25"/>
          <w:szCs w:val="25"/>
        </w:rPr>
      </w:pPr>
      <w:bookmarkStart w:id="27" w:name="bookmark21"/>
      <w:bookmarkEnd w:id="27"/>
      <w:r>
        <w:rPr>
          <w:rFonts w:ascii="黑体" w:hAnsi="黑体" w:eastAsia="黑体" w:cs="黑体"/>
          <w:sz w:val="25"/>
          <w:szCs w:val="25"/>
        </w:rPr>
        <w:t>二、收入</w:t>
      </w:r>
      <w:r>
        <w:rPr>
          <w:rFonts w:hint="eastAsia" w:ascii="黑体" w:hAnsi="黑体" w:eastAsia="黑体" w:cs="黑体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z w:val="25"/>
          <w:szCs w:val="25"/>
        </w:rPr>
        <w:t>预算情况说明</w:t>
      </w:r>
    </w:p>
    <w:p w14:paraId="4016DC32">
      <w:pPr>
        <w:spacing w:before="130" w:line="311" w:lineRule="auto"/>
        <w:ind w:left="1301" w:right="1411" w:firstLine="50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西卫分院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后</w:t>
      </w:r>
      <w:r>
        <w:rPr>
          <w:rFonts w:ascii="仿宋" w:hAnsi="仿宋" w:eastAsia="仿宋" w:cs="仿宋"/>
          <w:spacing w:val="1"/>
          <w:sz w:val="25"/>
          <w:szCs w:val="25"/>
        </w:rPr>
        <w:t>收入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221.78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</w:t>
      </w:r>
      <w:r>
        <w:rPr>
          <w:rFonts w:ascii="仿宋" w:hAnsi="仿宋" w:eastAsia="仿宋" w:cs="仿宋"/>
          <w:spacing w:val="1"/>
          <w:sz w:val="25"/>
          <w:szCs w:val="25"/>
        </w:rPr>
        <w:t>，主要包</w:t>
      </w:r>
      <w:r>
        <w:rPr>
          <w:rFonts w:ascii="仿宋" w:hAnsi="仿宋" w:eastAsia="仿宋" w:cs="仿宋"/>
          <w:sz w:val="25"/>
          <w:szCs w:val="25"/>
        </w:rPr>
        <w:t>括一般公共预算拨款收入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221.78</w:t>
      </w:r>
      <w:r>
        <w:rPr>
          <w:rFonts w:hint="eastAsia" w:ascii="仿宋" w:hAnsi="仿宋" w:eastAsia="仿宋" w:cs="仿宋"/>
          <w:sz w:val="25"/>
          <w:szCs w:val="25"/>
        </w:rPr>
        <w:t>万元</w:t>
      </w:r>
      <w:r>
        <w:rPr>
          <w:rFonts w:ascii="仿宋" w:hAnsi="仿宋" w:eastAsia="仿宋" w:cs="仿宋"/>
          <w:sz w:val="25"/>
          <w:szCs w:val="25"/>
        </w:rPr>
        <w:t>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占100.00%；政府性基金预算拨款收入0万元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-1"/>
          <w:sz w:val="25"/>
          <w:szCs w:val="25"/>
        </w:rPr>
        <w:t>占0%；国有资本经营预算拨款收入0万元，占</w:t>
      </w:r>
      <w:r>
        <w:rPr>
          <w:rFonts w:ascii="仿宋" w:hAnsi="仿宋" w:eastAsia="仿宋" w:cs="仿宋"/>
          <w:spacing w:val="-2"/>
          <w:sz w:val="25"/>
          <w:szCs w:val="25"/>
        </w:rPr>
        <w:t>0%；财政专户管理资金收入0万元</w:t>
      </w:r>
      <w:r>
        <w:rPr>
          <w:rFonts w:hint="eastAsia" w:ascii="仿宋" w:hAnsi="仿宋" w:eastAsia="仿宋" w:cs="仿宋"/>
          <w:spacing w:val="-2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ascii="仿宋" w:hAnsi="仿宋" w:eastAsia="仿宋" w:cs="仿宋"/>
          <w:spacing w:val="-3"/>
          <w:sz w:val="25"/>
          <w:szCs w:val="25"/>
        </w:rPr>
        <w:t>0%；单位资金0万元，占0%；上年结转0万元</w:t>
      </w:r>
      <w:r>
        <w:rPr>
          <w:rFonts w:hint="eastAsia" w:ascii="仿宋" w:hAnsi="仿宋" w:eastAsia="仿宋" w:cs="仿宋"/>
          <w:spacing w:val="-3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-4"/>
          <w:sz w:val="25"/>
          <w:szCs w:val="25"/>
        </w:rPr>
        <w:t>占0%。</w:t>
      </w:r>
    </w:p>
    <w:p w14:paraId="312C231F">
      <w:pPr>
        <w:spacing w:before="82" w:line="222" w:lineRule="auto"/>
        <w:ind w:firstLine="1250" w:firstLineChars="500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22"/>
      <w:bookmarkEnd w:id="28"/>
      <w:r>
        <w:rPr>
          <w:rFonts w:ascii="黑体" w:hAnsi="黑体" w:eastAsia="黑体" w:cs="黑体"/>
          <w:sz w:val="25"/>
          <w:szCs w:val="25"/>
        </w:rPr>
        <w:t>三、支出</w:t>
      </w:r>
      <w:r>
        <w:rPr>
          <w:rFonts w:hint="eastAsia" w:ascii="黑体" w:hAnsi="黑体" w:eastAsia="黑体" w:cs="黑体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z w:val="25"/>
          <w:szCs w:val="25"/>
        </w:rPr>
        <w:t>预算情况说明</w:t>
      </w:r>
    </w:p>
    <w:p w14:paraId="7A20B283">
      <w:pPr>
        <w:spacing w:line="240" w:lineRule="auto"/>
        <w:ind w:left="0" w:right="0" w:firstLine="1764" w:firstLineChars="700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西卫分院</w:t>
      </w:r>
      <w:r>
        <w:rPr>
          <w:rFonts w:hint="eastAsia" w:ascii="仿宋" w:hAnsi="仿宋" w:eastAsia="仿宋" w:cs="仿宋"/>
          <w:spacing w:val="1"/>
          <w:sz w:val="25"/>
          <w:szCs w:val="25"/>
        </w:rPr>
        <w:t>调整预算后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支出</w:t>
      </w:r>
      <w:r>
        <w:rPr>
          <w:rFonts w:hint="eastAsia" w:ascii="仿宋" w:hAnsi="仿宋" w:eastAsia="仿宋" w:cs="仿宋"/>
          <w:spacing w:val="1"/>
          <w:sz w:val="25"/>
          <w:szCs w:val="25"/>
        </w:rPr>
        <w:t>总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计221.78</w:t>
      </w:r>
      <w:r>
        <w:rPr>
          <w:rFonts w:ascii="仿宋" w:hAnsi="仿宋" w:eastAsia="仿宋" w:cs="仿宋"/>
          <w:spacing w:val="1"/>
          <w:sz w:val="25"/>
          <w:szCs w:val="25"/>
        </w:rPr>
        <w:t>万元，</w:t>
      </w:r>
    </w:p>
    <w:p w14:paraId="732438E9">
      <w:pPr>
        <w:spacing w:line="240" w:lineRule="auto"/>
        <w:ind w:left="0" w:right="0" w:firstLine="1260" w:firstLineChars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其</w:t>
      </w:r>
      <w:r>
        <w:rPr>
          <w:rFonts w:ascii="仿宋" w:hAnsi="仿宋" w:eastAsia="仿宋" w:cs="仿宋"/>
          <w:spacing w:val="-3"/>
          <w:sz w:val="25"/>
          <w:szCs w:val="25"/>
        </w:rPr>
        <w:t>中：基本支出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151.43</w:t>
      </w:r>
      <w:r>
        <w:rPr>
          <w:rFonts w:ascii="仿宋" w:hAnsi="仿宋" w:eastAsia="仿宋" w:cs="仿宋"/>
          <w:spacing w:val="-3"/>
          <w:sz w:val="25"/>
          <w:szCs w:val="25"/>
        </w:rPr>
        <w:t>万元，</w:t>
      </w:r>
      <w:r>
        <w:rPr>
          <w:rFonts w:ascii="仿宋" w:hAnsi="仿宋" w:eastAsia="仿宋" w:cs="仿宋"/>
          <w:spacing w:val="-5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68.28</w:t>
      </w:r>
      <w:r>
        <w:rPr>
          <w:rFonts w:ascii="仿宋" w:hAnsi="仿宋" w:eastAsia="仿宋" w:cs="仿宋"/>
          <w:spacing w:val="-3"/>
          <w:sz w:val="25"/>
          <w:szCs w:val="25"/>
        </w:rPr>
        <w:t>%；项目支出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70.34</w:t>
      </w:r>
      <w:r>
        <w:rPr>
          <w:rFonts w:ascii="仿宋" w:hAnsi="仿宋" w:eastAsia="仿宋" w:cs="仿宋"/>
          <w:spacing w:val="-3"/>
          <w:sz w:val="25"/>
          <w:szCs w:val="25"/>
        </w:rPr>
        <w:t>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3"/>
          <w:sz w:val="25"/>
          <w:szCs w:val="25"/>
          <w:lang w:val="en-US" w:eastAsia="zh-CN"/>
        </w:rPr>
        <w:t>31.72</w:t>
      </w:r>
      <w:r>
        <w:rPr>
          <w:rFonts w:ascii="仿宋" w:hAnsi="仿宋" w:eastAsia="仿宋" w:cs="仿宋"/>
          <w:spacing w:val="-3"/>
          <w:sz w:val="25"/>
          <w:szCs w:val="25"/>
        </w:rPr>
        <w:t>%。</w:t>
      </w:r>
    </w:p>
    <w:p w14:paraId="4634BEF8">
      <w:pPr>
        <w:spacing w:before="42" w:line="222" w:lineRule="auto"/>
        <w:ind w:left="1314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23"/>
      <w:bookmarkEnd w:id="29"/>
      <w:r>
        <w:rPr>
          <w:rFonts w:ascii="黑体" w:hAnsi="黑体" w:eastAsia="黑体" w:cs="黑体"/>
          <w:sz w:val="25"/>
          <w:szCs w:val="25"/>
        </w:rPr>
        <w:t>四、财政拨款收支</w:t>
      </w:r>
      <w:r>
        <w:rPr>
          <w:rFonts w:hint="eastAsia" w:ascii="黑体" w:hAnsi="黑体" w:eastAsia="黑体" w:cs="黑体"/>
          <w:sz w:val="25"/>
          <w:szCs w:val="25"/>
          <w:lang w:eastAsia="zh-CN"/>
        </w:rPr>
        <w:t>调整</w:t>
      </w:r>
      <w:r>
        <w:rPr>
          <w:rFonts w:ascii="黑体" w:hAnsi="黑体" w:eastAsia="黑体" w:cs="黑体"/>
          <w:sz w:val="25"/>
          <w:szCs w:val="25"/>
        </w:rPr>
        <w:t>预算总体情况说明</w:t>
      </w:r>
    </w:p>
    <w:p w14:paraId="5A95F0D3">
      <w:pPr>
        <w:spacing w:before="133" w:line="313" w:lineRule="auto"/>
        <w:ind w:left="1307" w:right="1405" w:firstLine="498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1"/>
          <w:sz w:val="25"/>
          <w:szCs w:val="25"/>
        </w:rPr>
        <w:t>分院财政拨款收支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后总计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221.78</w:t>
      </w:r>
      <w:r>
        <w:rPr>
          <w:rFonts w:hint="eastAsia" w:ascii="仿宋" w:hAnsi="仿宋" w:eastAsia="仿宋" w:cs="仿宋"/>
          <w:spacing w:val="1"/>
          <w:sz w:val="25"/>
          <w:szCs w:val="25"/>
        </w:rPr>
        <w:t>万元</w:t>
      </w:r>
      <w:r>
        <w:rPr>
          <w:rFonts w:ascii="仿宋" w:hAnsi="仿宋" w:eastAsia="仿宋" w:cs="仿宋"/>
          <w:sz w:val="25"/>
          <w:szCs w:val="25"/>
        </w:rPr>
        <w:t>。其中：一般公共预算拨款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221.78</w:t>
      </w:r>
      <w:r>
        <w:rPr>
          <w:rFonts w:hint="eastAsia" w:ascii="仿宋" w:hAnsi="仿宋" w:eastAsia="仿宋" w:cs="仿宋"/>
          <w:sz w:val="25"/>
          <w:szCs w:val="25"/>
        </w:rPr>
        <w:t>万元</w:t>
      </w:r>
      <w:r>
        <w:rPr>
          <w:rFonts w:ascii="仿宋" w:hAnsi="仿宋" w:eastAsia="仿宋" w:cs="仿宋"/>
          <w:sz w:val="25"/>
          <w:szCs w:val="25"/>
        </w:rPr>
        <w:t>，政府性基金预算拨款0万元，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国有资本经</w:t>
      </w:r>
      <w:r>
        <w:rPr>
          <w:rFonts w:ascii="仿宋" w:hAnsi="仿宋" w:eastAsia="仿宋" w:cs="仿宋"/>
          <w:spacing w:val="2"/>
          <w:sz w:val="25"/>
          <w:szCs w:val="25"/>
        </w:rPr>
        <w:t>营预算拨款0万元。 其中：当年拨款收入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221.78</w:t>
      </w:r>
      <w:r>
        <w:rPr>
          <w:rFonts w:ascii="仿宋" w:hAnsi="仿宋" w:eastAsia="仿宋" w:cs="仿宋"/>
          <w:spacing w:val="2"/>
          <w:sz w:val="25"/>
          <w:szCs w:val="25"/>
        </w:rPr>
        <w:t>万</w:t>
      </w:r>
      <w:r>
        <w:rPr>
          <w:rFonts w:ascii="仿宋" w:hAnsi="仿宋" w:eastAsia="仿宋" w:cs="仿宋"/>
          <w:spacing w:val="1"/>
          <w:sz w:val="25"/>
          <w:szCs w:val="25"/>
        </w:rPr>
        <w:t>元，上年结转收入0万元。支出包括：社会保障和就业支出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9.1</w:t>
      </w:r>
      <w:r>
        <w:rPr>
          <w:rFonts w:ascii="仿宋" w:hAnsi="仿宋" w:eastAsia="仿宋" w:cs="仿宋"/>
          <w:spacing w:val="1"/>
          <w:sz w:val="25"/>
          <w:szCs w:val="25"/>
        </w:rPr>
        <w:t>万元、卫生健康支出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204.44</w:t>
      </w:r>
      <w:r>
        <w:rPr>
          <w:rFonts w:ascii="仿宋" w:hAnsi="仿宋" w:eastAsia="仿宋" w:cs="仿宋"/>
          <w:spacing w:val="1"/>
          <w:sz w:val="25"/>
          <w:szCs w:val="25"/>
        </w:rPr>
        <w:t>万元、住房保障支出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8.23</w:t>
      </w:r>
      <w:r>
        <w:rPr>
          <w:rFonts w:ascii="仿宋" w:hAnsi="仿宋" w:eastAsia="仿宋" w:cs="仿宋"/>
          <w:spacing w:val="1"/>
          <w:sz w:val="25"/>
          <w:szCs w:val="25"/>
        </w:rPr>
        <w:t>万</w:t>
      </w:r>
      <w:r>
        <w:rPr>
          <w:rFonts w:ascii="仿宋" w:hAnsi="仿宋" w:eastAsia="仿宋" w:cs="仿宋"/>
          <w:spacing w:val="-6"/>
          <w:sz w:val="25"/>
          <w:szCs w:val="25"/>
        </w:rPr>
        <w:t>元等。</w:t>
      </w:r>
    </w:p>
    <w:p w14:paraId="745240D8">
      <w:pPr>
        <w:numPr>
          <w:ilvl w:val="0"/>
          <w:numId w:val="0"/>
        </w:numPr>
        <w:spacing w:before="39" w:line="222" w:lineRule="auto"/>
        <w:ind w:firstLine="1250" w:firstLineChars="500"/>
        <w:outlineLvl w:val="1"/>
        <w:rPr>
          <w:rFonts w:ascii="仿宋" w:hAnsi="仿宋" w:eastAsia="仿宋" w:cs="仿宋"/>
          <w:spacing w:val="1"/>
          <w:sz w:val="25"/>
          <w:szCs w:val="25"/>
        </w:rPr>
      </w:pPr>
      <w:bookmarkStart w:id="30" w:name="bookmark24"/>
      <w:bookmarkEnd w:id="30"/>
      <w:r>
        <w:rPr>
          <w:rFonts w:hint="eastAsia" w:ascii="黑体" w:hAnsi="黑体" w:eastAsia="黑体" w:cs="黑体"/>
          <w:sz w:val="25"/>
          <w:szCs w:val="25"/>
          <w:lang w:eastAsia="zh-CN"/>
        </w:rPr>
        <w:t>五、</w:t>
      </w:r>
      <w:r>
        <w:rPr>
          <w:rFonts w:ascii="黑体" w:hAnsi="黑体" w:eastAsia="黑体" w:cs="黑体"/>
          <w:sz w:val="25"/>
          <w:szCs w:val="25"/>
        </w:rPr>
        <w:t>一般公共预算支出情况说明</w:t>
      </w:r>
      <w:bookmarkStart w:id="31" w:name="bookmark48"/>
      <w:bookmarkEnd w:id="31"/>
    </w:p>
    <w:p w14:paraId="5D5C63E3">
      <w:pPr>
        <w:spacing w:before="82" w:line="223" w:lineRule="auto"/>
        <w:ind w:firstLine="1764" w:firstLineChars="7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（一）一般公共预算当年支出规模变化情况</w:t>
      </w:r>
    </w:p>
    <w:p w14:paraId="542ED22D">
      <w:pPr>
        <w:spacing w:before="130" w:line="304" w:lineRule="auto"/>
        <w:ind w:left="1308" w:right="1410" w:firstLine="49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1"/>
          <w:sz w:val="25"/>
          <w:szCs w:val="25"/>
        </w:rPr>
        <w:t>分院一般公共预算当年支出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221.78</w:t>
      </w:r>
      <w:r>
        <w:rPr>
          <w:rFonts w:ascii="仿宋" w:hAnsi="仿宋" w:eastAsia="仿宋" w:cs="仿宋"/>
          <w:spacing w:val="-1"/>
          <w:sz w:val="25"/>
          <w:szCs w:val="25"/>
        </w:rPr>
        <w:t>万元。</w:t>
      </w:r>
    </w:p>
    <w:p w14:paraId="4CFBA8B8">
      <w:pPr>
        <w:spacing w:before="40"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（二）一般公共预算当年支出结构情况</w:t>
      </w:r>
    </w:p>
    <w:p w14:paraId="6A3BCA72">
      <w:pPr>
        <w:spacing w:before="128" w:line="309" w:lineRule="auto"/>
        <w:ind w:left="1308" w:right="1405" w:firstLine="497"/>
        <w:rPr>
          <w:rFonts w:ascii="Arial"/>
          <w:sz w:val="21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2024年度石楼县医疗集团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1"/>
          <w:sz w:val="25"/>
          <w:szCs w:val="25"/>
        </w:rPr>
        <w:t>分院一般公共预算当年支出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221.78</w:t>
      </w:r>
      <w:r>
        <w:rPr>
          <w:rFonts w:ascii="仿宋" w:hAnsi="仿宋" w:eastAsia="仿宋" w:cs="仿宋"/>
          <w:sz w:val="25"/>
          <w:szCs w:val="25"/>
        </w:rPr>
        <w:t>万元,主要用于以下方面：社会保障和就业支出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9.1</w:t>
      </w:r>
      <w:r>
        <w:rPr>
          <w:rFonts w:ascii="仿宋" w:hAnsi="仿宋" w:eastAsia="仿宋" w:cs="仿宋"/>
          <w:sz w:val="25"/>
          <w:szCs w:val="25"/>
        </w:rPr>
        <w:t>万元，占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4.1</w:t>
      </w:r>
      <w:r>
        <w:rPr>
          <w:rFonts w:ascii="仿宋" w:hAnsi="仿宋" w:eastAsia="仿宋" w:cs="仿宋"/>
          <w:sz w:val="25"/>
          <w:szCs w:val="25"/>
        </w:rPr>
        <w:t>%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；</w:t>
      </w:r>
      <w:r>
        <w:rPr>
          <w:rFonts w:ascii="仿宋" w:hAnsi="仿宋" w:eastAsia="仿宋" w:cs="仿宋"/>
          <w:sz w:val="25"/>
          <w:szCs w:val="25"/>
        </w:rPr>
        <w:t>卫生健康</w:t>
      </w:r>
      <w:r>
        <w:rPr>
          <w:rFonts w:ascii="仿宋" w:hAnsi="仿宋" w:eastAsia="仿宋" w:cs="仿宋"/>
          <w:spacing w:val="-1"/>
          <w:sz w:val="25"/>
          <w:szCs w:val="25"/>
        </w:rPr>
        <w:t>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204.44</w:t>
      </w:r>
      <w:r>
        <w:rPr>
          <w:rFonts w:ascii="仿宋" w:hAnsi="仿宋" w:eastAsia="仿宋" w:cs="仿宋"/>
          <w:spacing w:val="-2"/>
          <w:sz w:val="25"/>
          <w:szCs w:val="25"/>
        </w:rPr>
        <w:t>万元</w:t>
      </w:r>
      <w:r>
        <w:rPr>
          <w:rFonts w:hint="eastAsia" w:ascii="仿宋" w:hAnsi="仿宋" w:eastAsia="仿宋" w:cs="仿宋"/>
          <w:spacing w:val="-2"/>
          <w:sz w:val="25"/>
          <w:szCs w:val="25"/>
          <w:lang w:eastAsia="zh-CN"/>
        </w:rPr>
        <w:t>，</w:t>
      </w:r>
      <w:r>
        <w:rPr>
          <w:rFonts w:ascii="仿宋" w:hAnsi="仿宋" w:eastAsia="仿宋" w:cs="仿宋"/>
          <w:spacing w:val="-2"/>
          <w:sz w:val="25"/>
          <w:szCs w:val="25"/>
        </w:rPr>
        <w:t>占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92.18</w:t>
      </w:r>
      <w:r>
        <w:rPr>
          <w:rFonts w:ascii="仿宋" w:hAnsi="仿宋" w:eastAsia="仿宋" w:cs="仿宋"/>
          <w:spacing w:val="-2"/>
          <w:sz w:val="25"/>
          <w:szCs w:val="25"/>
        </w:rPr>
        <w:t>%；住房保障支出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8.23</w:t>
      </w:r>
      <w:r>
        <w:rPr>
          <w:rFonts w:ascii="仿宋" w:hAnsi="仿宋" w:eastAsia="仿宋" w:cs="仿宋"/>
          <w:spacing w:val="-2"/>
          <w:sz w:val="25"/>
          <w:szCs w:val="25"/>
        </w:rPr>
        <w:t>万元，占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3.71</w:t>
      </w:r>
      <w:r>
        <w:rPr>
          <w:rFonts w:ascii="仿宋" w:hAnsi="仿宋" w:eastAsia="仿宋" w:cs="仿宋"/>
          <w:spacing w:val="-3"/>
          <w:sz w:val="25"/>
          <w:szCs w:val="25"/>
        </w:rPr>
        <w:t>%等。</w:t>
      </w:r>
    </w:p>
    <w:p w14:paraId="1F25C14C">
      <w:pPr>
        <w:spacing w:before="81" w:line="222" w:lineRule="auto"/>
        <w:ind w:left="1307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5"/>
      <w:bookmarkEnd w:id="32"/>
      <w:r>
        <w:rPr>
          <w:rFonts w:ascii="黑体" w:hAnsi="黑体" w:eastAsia="黑体" w:cs="黑体"/>
          <w:sz w:val="25"/>
          <w:szCs w:val="25"/>
        </w:rPr>
        <w:t>六、一般公共预算基本支出情况说明</w:t>
      </w:r>
    </w:p>
    <w:p w14:paraId="5C677655">
      <w:pPr>
        <w:spacing w:before="132" w:line="304" w:lineRule="auto"/>
        <w:ind w:left="1317" w:right="1537" w:firstLine="48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2024年度石楼县医疗集团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2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1"/>
          <w:sz w:val="25"/>
          <w:szCs w:val="25"/>
        </w:rPr>
        <w:t>分院一般公共预算安排基本支出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hint="eastAsia" w:ascii="仿宋" w:hAnsi="仿宋" w:eastAsia="仿宋" w:cs="仿宋"/>
          <w:spacing w:val="-2"/>
          <w:sz w:val="25"/>
          <w:szCs w:val="25"/>
          <w:lang w:val="en-US" w:eastAsia="zh-CN"/>
        </w:rPr>
        <w:t>151.43</w:t>
      </w:r>
      <w:r>
        <w:rPr>
          <w:rFonts w:ascii="仿宋" w:hAnsi="仿宋" w:eastAsia="仿宋" w:cs="仿宋"/>
          <w:spacing w:val="-2"/>
          <w:sz w:val="25"/>
          <w:szCs w:val="25"/>
        </w:rPr>
        <w:t>万元，其中：</w:t>
      </w:r>
    </w:p>
    <w:p w14:paraId="0F8CE7E3">
      <w:pPr>
        <w:spacing w:before="41" w:line="222" w:lineRule="auto"/>
        <w:ind w:left="18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人员经费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162.92</w:t>
      </w:r>
      <w:r>
        <w:rPr>
          <w:rFonts w:ascii="仿宋" w:hAnsi="仿宋" w:eastAsia="仿宋" w:cs="仿宋"/>
          <w:spacing w:val="2"/>
          <w:sz w:val="25"/>
          <w:szCs w:val="25"/>
        </w:rPr>
        <w:t>万元，主要包括：其他社会保障缴费、绩效工资、基本</w:t>
      </w:r>
      <w:r>
        <w:rPr>
          <w:rFonts w:ascii="仿宋" w:hAnsi="仿宋" w:eastAsia="仿宋" w:cs="仿宋"/>
          <w:spacing w:val="1"/>
          <w:sz w:val="25"/>
          <w:szCs w:val="25"/>
        </w:rPr>
        <w:t>工资、机</w:t>
      </w:r>
    </w:p>
    <w:p w14:paraId="6AA5A47D">
      <w:pPr>
        <w:spacing w:line="240" w:lineRule="auto"/>
        <w:ind w:right="0" w:firstLine="1260" w:firstLineChars="50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关事业单位基本养老保险缴费、住房公积金、津贴补贴、职工基本医疗保险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缴</w:t>
      </w:r>
      <w:r>
        <w:rPr>
          <w:rFonts w:ascii="仿宋" w:hAnsi="仿宋" w:eastAsia="仿宋" w:cs="仿宋"/>
          <w:spacing w:val="-8"/>
          <w:sz w:val="25"/>
          <w:szCs w:val="25"/>
        </w:rPr>
        <w:t>费等；</w:t>
      </w:r>
    </w:p>
    <w:p w14:paraId="2F3031F6">
      <w:pPr>
        <w:spacing w:before="40" w:line="224" w:lineRule="auto"/>
        <w:ind w:left="1816"/>
        <w:rPr>
          <w:rFonts w:ascii="黑体" w:hAnsi="黑体" w:eastAsia="黑体" w:cs="黑体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0.24</w:t>
      </w:r>
      <w:r>
        <w:rPr>
          <w:rFonts w:ascii="仿宋" w:hAnsi="仿宋" w:eastAsia="仿宋" w:cs="仿宋"/>
          <w:spacing w:val="1"/>
          <w:sz w:val="25"/>
          <w:szCs w:val="25"/>
        </w:rPr>
        <w:t>万元，主要包括：工会</w:t>
      </w:r>
      <w:r>
        <w:rPr>
          <w:rFonts w:ascii="仿宋" w:hAnsi="仿宋" w:eastAsia="仿宋" w:cs="仿宋"/>
          <w:sz w:val="25"/>
          <w:szCs w:val="25"/>
        </w:rPr>
        <w:t>经费。</w:t>
      </w:r>
      <w:bookmarkStart w:id="33" w:name="bookmark26"/>
      <w:bookmarkEnd w:id="33"/>
    </w:p>
    <w:p w14:paraId="42768092">
      <w:pPr>
        <w:spacing w:before="130" w:line="222" w:lineRule="auto"/>
        <w:ind w:firstLine="1260" w:firstLineChars="500"/>
        <w:outlineLvl w:val="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七、“三公”经费增减变动原因说明</w:t>
      </w:r>
    </w:p>
    <w:p w14:paraId="33359B37">
      <w:pPr>
        <w:spacing w:before="131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本单位无“三公</w:t>
      </w:r>
      <w:r>
        <w:rPr>
          <w:rFonts w:ascii="仿宋" w:hAnsi="仿宋" w:eastAsia="仿宋" w:cs="仿宋"/>
          <w:spacing w:val="-8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”经费</w:t>
      </w:r>
      <w:r>
        <w:rPr>
          <w:rFonts w:hint="eastAsia" w:ascii="仿宋" w:hAnsi="仿宋" w:eastAsia="仿宋" w:cs="仿宋"/>
          <w:spacing w:val="-3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-3"/>
          <w:sz w:val="25"/>
          <w:szCs w:val="25"/>
        </w:rPr>
        <w:t>预算。</w:t>
      </w:r>
    </w:p>
    <w:p w14:paraId="1EB2F27D">
      <w:pPr>
        <w:spacing w:before="132" w:line="222" w:lineRule="auto"/>
        <w:ind w:left="1294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7"/>
      <w:bookmarkEnd w:id="34"/>
      <w:r>
        <w:rPr>
          <w:rFonts w:ascii="黑体" w:hAnsi="黑体" w:eastAsia="黑体" w:cs="黑体"/>
          <w:spacing w:val="1"/>
          <w:sz w:val="25"/>
          <w:szCs w:val="25"/>
        </w:rPr>
        <w:t>八、机关运行经费增减变动原因说明</w:t>
      </w:r>
    </w:p>
    <w:p w14:paraId="68D4DD25">
      <w:pPr>
        <w:spacing w:before="131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本单位无机关运行经费。</w:t>
      </w:r>
    </w:p>
    <w:p w14:paraId="4876F55A">
      <w:pPr>
        <w:spacing w:before="131" w:line="225" w:lineRule="auto"/>
        <w:ind w:left="1300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8"/>
      <w:bookmarkEnd w:id="35"/>
      <w:r>
        <w:rPr>
          <w:rFonts w:ascii="黑体" w:hAnsi="黑体" w:eastAsia="黑体" w:cs="黑体"/>
          <w:spacing w:val="-1"/>
          <w:sz w:val="25"/>
          <w:szCs w:val="25"/>
        </w:rPr>
        <w:t>九、政府采购情况</w:t>
      </w:r>
    </w:p>
    <w:p w14:paraId="4C835C98">
      <w:pPr>
        <w:spacing w:before="129" w:line="303" w:lineRule="auto"/>
        <w:ind w:left="1339" w:right="1425" w:firstLine="46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2024年石楼县医疗集团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2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2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2"/>
          <w:sz w:val="25"/>
          <w:szCs w:val="25"/>
        </w:rPr>
        <w:t>分院政</w:t>
      </w:r>
      <w:r>
        <w:rPr>
          <w:rFonts w:ascii="仿宋" w:hAnsi="仿宋" w:eastAsia="仿宋" w:cs="仿宋"/>
          <w:spacing w:val="1"/>
          <w:sz w:val="25"/>
          <w:szCs w:val="25"/>
        </w:rPr>
        <w:t>府采购</w:t>
      </w:r>
      <w:r>
        <w:rPr>
          <w:rFonts w:hint="eastAsia" w:ascii="仿宋" w:hAnsi="仿宋" w:eastAsia="仿宋" w:cs="仿宋"/>
          <w:spacing w:val="1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pacing w:val="1"/>
          <w:sz w:val="25"/>
          <w:szCs w:val="25"/>
        </w:rPr>
        <w:t>预算总额0万元。其</w:t>
      </w:r>
      <w:r>
        <w:rPr>
          <w:rFonts w:ascii="仿宋" w:hAnsi="仿宋" w:eastAsia="仿宋" w:cs="仿宋"/>
          <w:sz w:val="25"/>
          <w:szCs w:val="25"/>
        </w:rPr>
        <w:t>中：政府采购货物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z w:val="25"/>
          <w:szCs w:val="25"/>
        </w:rPr>
        <w:t>预算0万元、政府采购工程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z w:val="25"/>
          <w:szCs w:val="25"/>
        </w:rPr>
        <w:t>预算0万元、政府采购服务</w: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调整</w:t>
      </w:r>
      <w:r>
        <w:rPr>
          <w:rFonts w:ascii="仿宋" w:hAnsi="仿宋" w:eastAsia="仿宋" w:cs="仿宋"/>
          <w:sz w:val="25"/>
          <w:szCs w:val="25"/>
        </w:rPr>
        <w:t>预算0万元。</w:t>
      </w:r>
    </w:p>
    <w:p w14:paraId="6D9AB77E">
      <w:pPr>
        <w:spacing w:before="43" w:line="222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9"/>
      <w:bookmarkEnd w:id="36"/>
      <w:r>
        <w:rPr>
          <w:rFonts w:ascii="黑体" w:hAnsi="黑体" w:eastAsia="黑体" w:cs="黑体"/>
          <w:sz w:val="25"/>
          <w:szCs w:val="25"/>
        </w:rPr>
        <w:t>十、绩效管理情况</w:t>
      </w:r>
    </w:p>
    <w:p w14:paraId="04CDE620">
      <w:pPr>
        <w:spacing w:before="131" w:line="224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1、整体绩效目标</w:t>
      </w:r>
    </w:p>
    <w:p w14:paraId="3C0B20F8">
      <w:pPr>
        <w:spacing w:before="129" w:line="222" w:lineRule="auto"/>
        <w:ind w:left="1302" w:firstLine="420" w:firstLineChars="200"/>
        <w:rPr>
          <w:rFonts w:ascii="仿宋" w:hAnsi="仿宋" w:eastAsia="仿宋" w:cs="仿宋"/>
          <w:sz w:val="25"/>
          <w:szCs w:val="25"/>
        </w:rPr>
      </w:pPr>
      <w:r>
        <w:pict>
          <v:shape id="_x0000_s1027" o:spid="_x0000_s1027" o:spt="136" type="#_x0000_t136" style="position:absolute;left:0pt;margin-left:391.9pt;margin-top:52.8pt;height:18.85pt;width:119.4pt;rotation:21626880f;z-index:25166131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rPr>
          <w:rFonts w:ascii="仿宋" w:hAnsi="仿宋" w:eastAsia="仿宋" w:cs="仿宋"/>
          <w:spacing w:val="2"/>
          <w:sz w:val="25"/>
          <w:szCs w:val="25"/>
        </w:rPr>
        <w:t>2024年编报本单位整体绩效目标，涉及</w:t>
      </w:r>
      <w:r>
        <w:rPr>
          <w:rFonts w:ascii="仿宋" w:hAnsi="仿宋" w:eastAsia="仿宋" w:cs="仿宋"/>
          <w:spacing w:val="1"/>
          <w:sz w:val="25"/>
          <w:szCs w:val="25"/>
        </w:rPr>
        <w:t>资金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11.44</w:t>
      </w:r>
      <w:r>
        <w:rPr>
          <w:rFonts w:ascii="仿宋" w:hAnsi="仿宋" w:eastAsia="仿宋" w:cs="仿宋"/>
          <w:spacing w:val="1"/>
          <w:sz w:val="25"/>
          <w:szCs w:val="25"/>
        </w:rPr>
        <w:t>万元。（本单位整体目标表公开情</w:t>
      </w:r>
    </w:p>
    <w:p w14:paraId="1B66A377">
      <w:pPr>
        <w:spacing w:before="131" w:line="224" w:lineRule="auto"/>
        <w:ind w:left="1307"/>
        <w:rPr>
          <w:rFonts w:ascii="仿宋" w:hAnsi="仿宋" w:eastAsia="仿宋" w:cs="仿宋"/>
          <w:sz w:val="25"/>
          <w:szCs w:val="25"/>
        </w:rPr>
      </w:pPr>
      <w:r>
        <w:pict>
          <v:shape id="_x0000_s1028" o:spid="_x0000_s1028" o:spt="136" type="#_x0000_t136" style="position:absolute;left:0pt;margin-left:-13.05pt;margin-top:31.25pt;height:18.85pt;width:119.4pt;rotation:21626880f;z-index:25166028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rPr>
          <w:rFonts w:ascii="仿宋" w:hAnsi="仿宋" w:eastAsia="仿宋" w:cs="仿宋"/>
          <w:spacing w:val="-3"/>
          <w:sz w:val="25"/>
          <w:szCs w:val="25"/>
        </w:rPr>
        <w:t>况见附件）</w:t>
      </w:r>
    </w:p>
    <w:p w14:paraId="36FEA06E">
      <w:pPr>
        <w:spacing w:before="129" w:line="224" w:lineRule="auto"/>
        <w:ind w:left="1806"/>
        <w:rPr>
          <w:rFonts w:ascii="Arial"/>
          <w:sz w:val="21"/>
        </w:rPr>
      </w:pPr>
      <w:r>
        <w:rPr>
          <w:rFonts w:ascii="仿宋" w:hAnsi="仿宋" w:eastAsia="仿宋" w:cs="仿宋"/>
          <w:sz w:val="25"/>
          <w:szCs w:val="25"/>
        </w:rPr>
        <w:t>2、项目绩效目标</w:t>
      </w:r>
    </w:p>
    <w:p w14:paraId="7C6BAE33">
      <w:pPr>
        <w:spacing w:before="81"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2024年石楼县医疗集团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1"/>
          <w:sz w:val="25"/>
          <w:szCs w:val="25"/>
        </w:rPr>
        <w:t>分院纳入绩效目标管理的二级项</w:t>
      </w:r>
    </w:p>
    <w:p w14:paraId="40CEA3F9">
      <w:pPr>
        <w:spacing w:before="129" w:line="308" w:lineRule="auto"/>
        <w:ind w:left="1350" w:right="1444" w:firstLine="1"/>
        <w:rPr>
          <w:rFonts w:hint="eastAsia" w:ascii="仿宋" w:hAnsi="仿宋" w:eastAsia="仿宋" w:cs="仿宋"/>
          <w:sz w:val="25"/>
          <w:szCs w:val="25"/>
          <w:lang w:eastAsia="zh-CN"/>
        </w:rPr>
      </w:pPr>
      <w:r>
        <w:rPr>
          <w:rFonts w:ascii="仿宋" w:hAnsi="仿宋" w:eastAsia="仿宋" w:cs="仿宋"/>
          <w:spacing w:val="1"/>
          <w:sz w:val="25"/>
          <w:szCs w:val="25"/>
        </w:rPr>
        <w:t>目1个，共计金额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11.44</w:t>
      </w:r>
      <w:r>
        <w:rPr>
          <w:rFonts w:ascii="仿宋" w:hAnsi="仿宋" w:eastAsia="仿宋" w:cs="仿宋"/>
          <w:spacing w:val="1"/>
          <w:sz w:val="25"/>
          <w:szCs w:val="25"/>
        </w:rPr>
        <w:t>万元。其中：其他运转</w:t>
      </w:r>
      <w:r>
        <w:rPr>
          <w:rFonts w:ascii="仿宋" w:hAnsi="仿宋" w:eastAsia="仿宋" w:cs="仿宋"/>
          <w:sz w:val="25"/>
          <w:szCs w:val="25"/>
        </w:rPr>
        <w:t>类项目1个，涉及金额</w:t>
      </w:r>
      <w:r>
        <w:rPr>
          <w:rFonts w:hint="eastAsia" w:ascii="仿宋" w:hAnsi="仿宋" w:eastAsia="仿宋" w:cs="仿宋"/>
          <w:sz w:val="25"/>
          <w:szCs w:val="25"/>
          <w:lang w:val="en-US" w:eastAsia="zh-CN"/>
        </w:rPr>
        <w:t>11.44</w:t>
      </w:r>
      <w:r>
        <w:rPr>
          <w:rFonts w:ascii="仿宋" w:hAnsi="仿宋" w:eastAsia="仿宋" w:cs="仿宋"/>
          <w:sz w:val="25"/>
          <w:szCs w:val="25"/>
        </w:rPr>
        <w:t>万元；公开项</w:t>
      </w:r>
      <w:r>
        <w:rPr>
          <w:rFonts w:ascii="仿宋" w:hAnsi="仿宋" w:eastAsia="仿宋" w:cs="仿宋"/>
          <w:spacing w:val="-1"/>
          <w:sz w:val="25"/>
          <w:szCs w:val="25"/>
        </w:rPr>
        <w:t>目绩效目标1个，涉及项目金额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11.44</w:t>
      </w:r>
      <w:r>
        <w:rPr>
          <w:rFonts w:ascii="仿宋" w:hAnsi="仿宋" w:eastAsia="仿宋" w:cs="仿宋"/>
          <w:spacing w:val="-1"/>
          <w:sz w:val="25"/>
          <w:szCs w:val="25"/>
        </w:rPr>
        <w:t>万元</w:t>
      </w:r>
      <w:r>
        <w:rPr>
          <w:rFonts w:hint="eastAsia" w:ascii="仿宋" w:hAnsi="仿宋" w:eastAsia="仿宋" w:cs="仿宋"/>
          <w:spacing w:val="-1"/>
          <w:sz w:val="25"/>
          <w:szCs w:val="25"/>
          <w:lang w:eastAsia="zh-CN"/>
        </w:rPr>
        <w:t>。</w:t>
      </w:r>
    </w:p>
    <w:p w14:paraId="7F07157F">
      <w:pPr>
        <w:spacing w:before="128" w:line="224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（项目绩效目标表公开情况见附件）</w:t>
      </w:r>
    </w:p>
    <w:p w14:paraId="5F047D67">
      <w:pPr>
        <w:spacing w:line="224" w:lineRule="auto"/>
        <w:rPr>
          <w:rFonts w:ascii="仿宋" w:hAnsi="仿宋" w:eastAsia="仿宋" w:cs="仿宋"/>
          <w:sz w:val="25"/>
          <w:szCs w:val="25"/>
        </w:rPr>
        <w:sectPr>
          <w:headerReference r:id="rId13" w:type="default"/>
          <w:footerReference r:id="rId14" w:type="default"/>
          <w:pgSz w:w="11900" w:h="16840"/>
          <w:pgMar w:top="611" w:right="0" w:bottom="312" w:left="0" w:header="357" w:footer="135" w:gutter="0"/>
          <w:pgNumType w:fmt="numberInDash"/>
          <w:cols w:space="720" w:num="1"/>
        </w:sectPr>
      </w:pPr>
    </w:p>
    <w:p w14:paraId="0864089E">
      <w:pPr>
        <w:spacing w:line="465" w:lineRule="auto"/>
        <w:rPr>
          <w:rFonts w:ascii="Arial"/>
          <w:sz w:val="21"/>
        </w:rPr>
      </w:pPr>
      <w:r>
        <w:pict>
          <v:shape id="_x0000_s1029" o:spid="_x0000_s1029" o:spt="136" type="#_x0000_t136" style="position:absolute;left:0pt;margin-left:491.9pt;margin-top:44.1pt;height:18.85pt;width:119.4pt;mso-position-horizontal-relative:page;mso-position-vertical-relative:page;rotation:21626880f;z-index:251666432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</w:p>
    <w:p w14:paraId="77656DA0">
      <w:pPr>
        <w:spacing w:line="240" w:lineRule="auto"/>
        <w:sectPr>
          <w:headerReference r:id="rId15" w:type="default"/>
          <w:footerReference r:id="rId16" w:type="default"/>
          <w:pgSz w:w="11900" w:h="16840"/>
          <w:pgMar w:top="611" w:right="0" w:bottom="312" w:left="0" w:header="357" w:footer="135" w:gutter="0"/>
          <w:pgNumType w:fmt="numberInDash"/>
          <w:cols w:space="720" w:num="1"/>
        </w:sectPr>
      </w:pPr>
      <w:r>
        <w:pict>
          <v:shape id="_x0000_s1030" o:spid="_x0000_s1030" o:spt="136" type="#_x0000_t136" style="position:absolute;left:0pt;margin-left:86.9pt;margin-top:478.1pt;height:18.85pt;width:119.4pt;rotation:21626880f;z-index:25166438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1" o:spid="_x0000_s1031" o:spt="136" type="#_x0000_t136" style="position:absolute;left:0pt;margin-left:391.9pt;margin-top:234.1pt;height:18.85pt;width:119.4pt;rotation:21626880f;z-index:25166540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2" o:spid="_x0000_s1032" o:spt="136" type="#_x0000_t136" style="position:absolute;left:0pt;margin-left:491.9pt;margin-top:478.1pt;height:18.85pt;width:119.4pt;rotation:21626880f;z-index:25166745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3" o:spid="_x0000_s1033" o:spt="136" type="#_x0000_t136" style="position:absolute;left:0pt;margin-left:-13.05pt;margin-top:234.1pt;height:18.85pt;width:119.4pt;rotation:21626880f;z-index:25166848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7268210" cy="8551545"/>
            <wp:effectExtent l="0" t="0" r="8890" b="1905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268210" cy="8552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33773C">
      <w:pPr>
        <w:spacing w:line="360" w:lineRule="auto"/>
        <w:rPr>
          <w:rFonts w:ascii="Arial"/>
          <w:sz w:val="21"/>
        </w:rPr>
      </w:pPr>
    </w:p>
    <w:p w14:paraId="69DFCAD7">
      <w:pPr>
        <w:spacing w:before="81" w:line="223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30"/>
      <w:bookmarkEnd w:id="37"/>
      <w:r>
        <w:rPr>
          <w:rFonts w:ascii="黑体" w:hAnsi="黑体" w:eastAsia="黑体" w:cs="黑体"/>
          <w:sz w:val="25"/>
          <w:szCs w:val="25"/>
        </w:rPr>
        <w:t>十一、国有资产占有使用情况</w:t>
      </w:r>
    </w:p>
    <w:p w14:paraId="333C23B9">
      <w:pPr>
        <w:spacing w:before="129" w:line="221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1、车辆情况：</w:t>
      </w:r>
    </w:p>
    <w:p w14:paraId="7E29D069">
      <w:pPr>
        <w:spacing w:before="131" w:line="303" w:lineRule="auto"/>
        <w:ind w:left="1308" w:right="1381" w:firstLine="502"/>
        <w:rPr>
          <w:rFonts w:ascii="仿宋" w:hAnsi="仿宋" w:eastAsia="仿宋" w:cs="仿宋"/>
          <w:spacing w:val="2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-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-1"/>
          <w:sz w:val="25"/>
          <w:szCs w:val="25"/>
        </w:rPr>
        <w:t>日，石楼县医疗集团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-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-1"/>
          <w:sz w:val="25"/>
          <w:szCs w:val="25"/>
        </w:rPr>
        <w:t>分院共有公务用车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编制0辆，实有0辆，其中：领导用车0辆，机要通信用车0辆，应急保障用车0辆，</w:t>
      </w:r>
    </w:p>
    <w:p w14:paraId="71E4F5EE">
      <w:pPr>
        <w:spacing w:line="240" w:lineRule="auto"/>
        <w:ind w:left="1249" w:leftChars="595" w:right="0" w:firstLine="0" w:firstLineChars="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执法执勤用车0辆，特种专业技术用车0辆，事业单位业</w:t>
      </w:r>
      <w:r>
        <w:rPr>
          <w:rFonts w:ascii="仿宋" w:hAnsi="仿宋" w:eastAsia="仿宋" w:cs="仿宋"/>
          <w:spacing w:val="1"/>
          <w:sz w:val="25"/>
          <w:szCs w:val="25"/>
        </w:rPr>
        <w:t>务用车0辆，其他公务用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 xml:space="preserve">              </w:t>
      </w:r>
      <w:r>
        <w:rPr>
          <w:rFonts w:ascii="仿宋" w:hAnsi="仿宋" w:eastAsia="仿宋" w:cs="仿宋"/>
          <w:spacing w:val="-4"/>
          <w:sz w:val="25"/>
          <w:szCs w:val="25"/>
        </w:rPr>
        <w:t>车0辆</w:t>
      </w:r>
      <w:r>
        <w:rPr>
          <w:rFonts w:hint="eastAsia" w:ascii="仿宋" w:hAnsi="仿宋" w:eastAsia="仿宋" w:cs="仿宋"/>
          <w:spacing w:val="-4"/>
          <w:sz w:val="25"/>
          <w:szCs w:val="25"/>
          <w:lang w:eastAsia="zh-CN"/>
        </w:rPr>
        <w:t>。</w:t>
      </w:r>
    </w:p>
    <w:p w14:paraId="7573C611">
      <w:pPr>
        <w:spacing w:before="44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2、房屋情况：</w:t>
      </w:r>
    </w:p>
    <w:p w14:paraId="28019156">
      <w:pPr>
        <w:spacing w:before="130" w:line="304" w:lineRule="auto"/>
        <w:ind w:left="1311" w:right="1537" w:firstLine="49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-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-1"/>
          <w:sz w:val="25"/>
          <w:szCs w:val="25"/>
        </w:rPr>
        <w:t>日，石楼县医疗集团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-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-1"/>
          <w:sz w:val="25"/>
          <w:szCs w:val="25"/>
        </w:rPr>
        <w:t>分院使用的办公用</w:t>
      </w:r>
      <w:r>
        <w:rPr>
          <w:rFonts w:ascii="仿宋" w:hAnsi="仿宋" w:eastAsia="仿宋" w:cs="仿宋"/>
          <w:sz w:val="25"/>
          <w:szCs w:val="25"/>
        </w:rPr>
        <w:t xml:space="preserve"> 房建筑总面积0平方米。</w:t>
      </w:r>
    </w:p>
    <w:p w14:paraId="10FA06D9">
      <w:pPr>
        <w:spacing w:before="40" w:line="223" w:lineRule="auto"/>
        <w:ind w:left="18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3、其他国有资产占有使用情况：</w:t>
      </w:r>
    </w:p>
    <w:p w14:paraId="29A87440">
      <w:pPr>
        <w:spacing w:before="129" w:line="309" w:lineRule="auto"/>
        <w:ind w:left="1304" w:right="14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截至2024年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12</w:t>
      </w:r>
      <w:r>
        <w:rPr>
          <w:rFonts w:ascii="仿宋" w:hAnsi="仿宋" w:eastAsia="仿宋" w:cs="仿宋"/>
          <w:spacing w:val="-1"/>
          <w:sz w:val="25"/>
          <w:szCs w:val="25"/>
        </w:rPr>
        <w:t>月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30</w:t>
      </w:r>
      <w:r>
        <w:rPr>
          <w:rFonts w:ascii="仿宋" w:hAnsi="仿宋" w:eastAsia="仿宋" w:cs="仿宋"/>
          <w:spacing w:val="-1"/>
          <w:sz w:val="25"/>
          <w:szCs w:val="25"/>
        </w:rPr>
        <w:t>日，石楼县医疗集团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-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-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-1"/>
          <w:sz w:val="25"/>
          <w:szCs w:val="25"/>
        </w:rPr>
        <w:t>分院占有使用价值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50万元（原值）以上的通用设备0台（套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pacing w:val="1"/>
          <w:sz w:val="25"/>
          <w:szCs w:val="25"/>
        </w:rPr>
        <w:t>石楼县医疗集团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灵泉</w:t>
      </w:r>
      <w:r>
        <w:rPr>
          <w:rFonts w:ascii="仿宋" w:hAnsi="仿宋" w:eastAsia="仿宋" w:cs="仿宋"/>
          <w:spacing w:val="1"/>
          <w:sz w:val="25"/>
          <w:szCs w:val="25"/>
        </w:rPr>
        <w:t>镇卫生院</w:t>
      </w:r>
      <w:r>
        <w:rPr>
          <w:rFonts w:hint="eastAsia" w:ascii="仿宋" w:hAnsi="仿宋" w:eastAsia="仿宋" w:cs="仿宋"/>
          <w:spacing w:val="1"/>
          <w:sz w:val="25"/>
          <w:szCs w:val="25"/>
          <w:lang w:val="en-US" w:eastAsia="zh-CN"/>
        </w:rPr>
        <w:t>西卫</w:t>
      </w:r>
      <w:r>
        <w:rPr>
          <w:rFonts w:ascii="仿宋" w:hAnsi="仿宋" w:eastAsia="仿宋" w:cs="仿宋"/>
          <w:spacing w:val="1"/>
          <w:sz w:val="25"/>
          <w:szCs w:val="25"/>
        </w:rPr>
        <w:t>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院占有使用价值100万元（原值）以上的通用设备0台（套）。</w:t>
      </w:r>
    </w:p>
    <w:p w14:paraId="763A1F24">
      <w:pPr>
        <w:spacing w:before="43" w:line="222" w:lineRule="auto"/>
        <w:ind w:left="1297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31"/>
      <w:bookmarkEnd w:id="38"/>
      <w:r>
        <w:rPr>
          <w:rFonts w:ascii="黑体" w:hAnsi="黑体" w:eastAsia="黑体" w:cs="黑体"/>
          <w:spacing w:val="-1"/>
          <w:sz w:val="25"/>
          <w:szCs w:val="25"/>
        </w:rPr>
        <w:t>十二、其他说明</w:t>
      </w:r>
    </w:p>
    <w:p w14:paraId="3069F0AF">
      <w:pPr>
        <w:spacing w:before="131" w:line="222" w:lineRule="auto"/>
        <w:ind w:left="1812"/>
        <w:outlineLvl w:val="2"/>
        <w:rPr>
          <w:rFonts w:ascii="仿宋" w:hAnsi="仿宋" w:eastAsia="仿宋" w:cs="仿宋"/>
          <w:sz w:val="25"/>
          <w:szCs w:val="25"/>
        </w:rPr>
      </w:pPr>
      <w:bookmarkStart w:id="39" w:name="bookmark32"/>
      <w:bookmarkEnd w:id="39"/>
      <w:r>
        <w:rPr>
          <w:rFonts w:ascii="仿宋" w:hAnsi="仿宋" w:eastAsia="仿宋" w:cs="仿宋"/>
          <w:sz w:val="25"/>
          <w:szCs w:val="25"/>
        </w:rPr>
        <w:t>（一）政府购买服务指导性目录</w:t>
      </w:r>
    </w:p>
    <w:p w14:paraId="50055EC8">
      <w:pPr>
        <w:spacing w:before="276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本单位本年度无政府购买服务。</w:t>
      </w:r>
    </w:p>
    <w:p w14:paraId="7B69AFA0">
      <w:pPr>
        <w:spacing w:before="275" w:line="223" w:lineRule="auto"/>
        <w:ind w:left="1812"/>
        <w:outlineLvl w:val="2"/>
        <w:rPr>
          <w:rFonts w:ascii="仿宋" w:hAnsi="仿宋" w:eastAsia="仿宋" w:cs="仿宋"/>
          <w:sz w:val="25"/>
          <w:szCs w:val="25"/>
        </w:rPr>
      </w:pPr>
      <w:bookmarkStart w:id="40" w:name="bookmark33"/>
      <w:bookmarkEnd w:id="40"/>
      <w:r>
        <w:rPr>
          <w:rFonts w:ascii="仿宋" w:hAnsi="仿宋" w:eastAsia="仿宋" w:cs="仿宋"/>
          <w:spacing w:val="-2"/>
          <w:sz w:val="25"/>
          <w:szCs w:val="25"/>
        </w:rPr>
        <w:t>（二）其他</w:t>
      </w:r>
    </w:p>
    <w:p w14:paraId="2DE7F476">
      <w:pPr>
        <w:spacing w:before="274" w:line="221" w:lineRule="auto"/>
        <w:ind w:left="1811"/>
        <w:sectPr>
          <w:headerReference r:id="rId17" w:type="default"/>
          <w:footerReference r:id="rId18" w:type="default"/>
          <w:pgSz w:w="11900" w:h="16840"/>
          <w:pgMar w:top="611" w:right="0" w:bottom="312" w:left="0" w:header="357" w:footer="134" w:gutter="0"/>
          <w:pgNumType w:fmt="numberInDash"/>
          <w:cols w:space="720" w:num="1"/>
        </w:sectPr>
      </w:pPr>
      <w:r>
        <w:rPr>
          <w:rFonts w:ascii="仿宋" w:hAnsi="仿宋" w:eastAsia="仿宋" w:cs="仿宋"/>
          <w:sz w:val="25"/>
          <w:szCs w:val="25"/>
        </w:rPr>
        <w:t>本单位不存在其他需要说明的事项</w:t>
      </w:r>
      <w:r>
        <w:pict>
          <v:shape id="_x0000_s1034" o:spid="_x0000_s1034" o:spt="136" type="#_x0000_t136" style="position:absolute;left:0pt;margin-left:391.9pt;margin-top:234.1pt;height:18.85pt;width:119.4pt;rotation:21626880f;z-index:25167462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5" o:spid="_x0000_s1035" o:spt="136" type="#_x0000_t136" style="position:absolute;left:0pt;margin-left:-13.05pt;margin-top:234.1pt;height:18.85pt;width:119.4pt;rotation:21626880f;z-index:25167564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pict>
          <v:shape id="_x0000_s1036" o:spid="_x0000_s1036" o:spt="136" type="#_x0000_t136" style="position:absolute;left:0pt;margin-left:86.9pt;margin-top:478.1pt;height:18.85pt;width:119.4pt;rotation:21626880f;z-index:25167667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shape="t" fitpath="t" trim="t" xscale="f" string="仅供内部审核" style="font-family:STSong;font-size:8pt;v-text-align:center;"/>
          </v:shape>
        </w:pict>
      </w:r>
      <w:r>
        <w:rPr>
          <w:rFonts w:hint="eastAsia" w:ascii="仿宋" w:hAnsi="仿宋" w:eastAsia="仿宋" w:cs="仿宋"/>
          <w:sz w:val="25"/>
          <w:szCs w:val="25"/>
          <w:lang w:eastAsia="zh-CN"/>
        </w:rPr>
        <w:t>。</w:t>
      </w:r>
    </w:p>
    <w:p w14:paraId="30F02471">
      <w:pPr>
        <w:spacing w:line="289" w:lineRule="auto"/>
        <w:rPr>
          <w:rFonts w:ascii="Arial"/>
          <w:sz w:val="21"/>
        </w:rPr>
      </w:pPr>
    </w:p>
    <w:p w14:paraId="1981E98E">
      <w:pPr>
        <w:spacing w:before="81" w:line="223" w:lineRule="auto"/>
        <w:ind w:left="4877"/>
        <w:outlineLvl w:val="0"/>
        <w:rPr>
          <w:rFonts w:ascii="黑体" w:hAnsi="黑体" w:eastAsia="黑体" w:cs="黑体"/>
          <w:sz w:val="25"/>
          <w:szCs w:val="25"/>
        </w:rPr>
      </w:pPr>
      <w:bookmarkStart w:id="41" w:name="bookmark34"/>
      <w:bookmarkEnd w:id="41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5C451925">
      <w:pPr>
        <w:spacing w:before="201" w:line="272" w:lineRule="auto"/>
        <w:ind w:left="1306" w:right="1537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一、基本支出：</w:t>
      </w:r>
      <w:r>
        <w:rPr>
          <w:rFonts w:ascii="仿宋" w:hAnsi="仿宋" w:eastAsia="仿宋" w:cs="仿宋"/>
          <w:spacing w:val="2"/>
          <w:sz w:val="25"/>
          <w:szCs w:val="25"/>
        </w:rPr>
        <w:t>指为保障机构正常运转、完</w:t>
      </w:r>
      <w:r>
        <w:rPr>
          <w:rFonts w:ascii="仿宋" w:hAnsi="仿宋" w:eastAsia="仿宋" w:cs="仿宋"/>
          <w:spacing w:val="1"/>
          <w:sz w:val="25"/>
          <w:szCs w:val="25"/>
        </w:rPr>
        <w:t>成日常工作任务而发生的人员支出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和公用支出。</w:t>
      </w:r>
    </w:p>
    <w:p w14:paraId="6E774B6E">
      <w:pPr>
        <w:spacing w:before="128" w:line="272" w:lineRule="auto"/>
        <w:ind w:left="1321" w:right="1537" w:firstLine="48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二、项目支出：</w:t>
      </w:r>
      <w:r>
        <w:rPr>
          <w:rFonts w:ascii="仿宋" w:hAnsi="仿宋" w:eastAsia="仿宋" w:cs="仿宋"/>
          <w:spacing w:val="2"/>
          <w:sz w:val="25"/>
          <w:szCs w:val="25"/>
        </w:rPr>
        <w:t>指在基本支出之外为完成特</w:t>
      </w:r>
      <w:r>
        <w:rPr>
          <w:rFonts w:ascii="仿宋" w:hAnsi="仿宋" w:eastAsia="仿宋" w:cs="仿宋"/>
          <w:spacing w:val="1"/>
          <w:sz w:val="25"/>
          <w:szCs w:val="25"/>
        </w:rPr>
        <w:t>定行政任务和事业发展目标所发生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7"/>
          <w:sz w:val="25"/>
          <w:szCs w:val="25"/>
        </w:rPr>
        <w:t>的支出。</w:t>
      </w:r>
    </w:p>
    <w:p w14:paraId="031E94AF">
      <w:pPr>
        <w:spacing w:before="127" w:line="270" w:lineRule="auto"/>
        <w:ind w:left="1306" w:right="1537" w:firstLine="502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三、“三公”经费：</w:t>
      </w:r>
      <w:r>
        <w:rPr>
          <w:rFonts w:ascii="仿宋" w:hAnsi="仿宋" w:eastAsia="仿宋" w:cs="仿宋"/>
          <w:spacing w:val="1"/>
          <w:sz w:val="25"/>
          <w:szCs w:val="25"/>
        </w:rPr>
        <w:t>指省直部门用财政拨款安排的因公出国（境）费用、公务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用车购置及运行费和公务接待费。其中：因公出国（境）费用反映单位公务出国</w:t>
      </w:r>
    </w:p>
    <w:p w14:paraId="481EFD57">
      <w:pPr>
        <w:spacing w:before="133" w:line="223" w:lineRule="auto"/>
        <w:ind w:left="130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（境）的国际旅费、国外城市间交通费、住宿费、伙食费、培训费、公杂费等支</w:t>
      </w:r>
    </w:p>
    <w:p w14:paraId="2D782774">
      <w:pPr>
        <w:spacing w:before="130" w:line="270" w:lineRule="auto"/>
        <w:ind w:left="1308" w:right="1537" w:firstLine="2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出；公务用车购置费反映公务用车</w:t>
      </w:r>
      <w:bookmarkStart w:id="42" w:name="_GoBack"/>
      <w:bookmarkEnd w:id="42"/>
      <w:r>
        <w:rPr>
          <w:rFonts w:ascii="仿宋" w:hAnsi="仿宋" w:eastAsia="仿宋" w:cs="仿宋"/>
          <w:sz w:val="25"/>
          <w:szCs w:val="25"/>
        </w:rPr>
        <w:t>购置支出（含车辆购置税、牌照费</w:t>
      </w:r>
      <w:r>
        <w:rPr>
          <w:rFonts w:ascii="仿宋" w:hAnsi="仿宋" w:eastAsia="仿宋" w:cs="仿宋"/>
          <w:spacing w:val="14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5D3C3406">
      <w:pPr>
        <w:spacing w:before="133" w:line="271" w:lineRule="auto"/>
        <w:ind w:left="1311" w:right="1537" w:firstLine="3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费、安全奖励费用等支出；公务接待费反映机关和参公事业单位按规定开支的各类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公务接待（含外宾接待）支出。</w:t>
      </w:r>
    </w:p>
    <w:p w14:paraId="206300EE">
      <w:pPr>
        <w:spacing w:before="131" w:line="271" w:lineRule="auto"/>
        <w:ind w:left="1309" w:right="1537" w:firstLine="509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四、机关运行经费：</w:t>
      </w:r>
      <w:r>
        <w:rPr>
          <w:rFonts w:ascii="仿宋" w:hAnsi="仿宋" w:eastAsia="仿宋" w:cs="仿宋"/>
          <w:spacing w:val="1"/>
          <w:sz w:val="25"/>
          <w:szCs w:val="25"/>
        </w:rPr>
        <w:t>指行政单位和参照公务员法管理的事业单位使用财政拨款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安排的基本支出中的公用经费支出。</w:t>
      </w:r>
    </w:p>
    <w:p w14:paraId="351926D1">
      <w:pPr>
        <w:spacing w:before="130" w:line="270" w:lineRule="auto"/>
        <w:ind w:left="1307" w:right="1537" w:firstLine="503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五、政府购买服务：</w:t>
      </w:r>
      <w:r>
        <w:rPr>
          <w:rFonts w:ascii="仿宋" w:hAnsi="仿宋" w:eastAsia="仿宋" w:cs="仿宋"/>
          <w:spacing w:val="1"/>
          <w:sz w:val="25"/>
          <w:szCs w:val="25"/>
        </w:rPr>
        <w:t>根据我国现行政策规定，政府购买服务，是指充分发挥市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场机制作用，将国家机关属于自身职责范围且适合通过市场化方式提供的服务事</w:t>
      </w:r>
    </w:p>
    <w:p w14:paraId="7A8B471D">
      <w:pPr>
        <w:spacing w:before="131" w:line="271" w:lineRule="auto"/>
        <w:ind w:left="1306" w:right="15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项，按照政府采购方式和程序，交由符合条件的服务供应商承担，并根据服务数量</w:t>
      </w:r>
      <w:r>
        <w:rPr>
          <w:rFonts w:ascii="仿宋" w:hAnsi="仿宋" w:eastAsia="仿宋" w:cs="仿宋"/>
          <w:spacing w:val="17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和质量等情况向其支付费用的行为。</w:t>
      </w:r>
    </w:p>
    <w:p w14:paraId="575F8156">
      <w:pPr>
        <w:spacing w:before="131" w:line="223" w:lineRule="auto"/>
        <w:ind w:left="181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六、财政专户管理资金：</w:t>
      </w:r>
    </w:p>
    <w:p w14:paraId="60C1D692">
      <w:pPr>
        <w:spacing w:before="167" w:line="303" w:lineRule="auto"/>
        <w:ind w:left="1307" w:right="1537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专指教育收费，包括目前在财政专户管理的高中以上学费、住宿费，高校委托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培养费，党校收费，教育考试考务费，函大、电大、夜大及短训班培训费等。</w:t>
      </w:r>
    </w:p>
    <w:p w14:paraId="354F6AB7">
      <w:pPr>
        <w:spacing w:before="78" w:line="271" w:lineRule="auto"/>
        <w:ind w:left="1306" w:right="1537" w:firstLine="496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七、单位资金：</w:t>
      </w:r>
      <w:r>
        <w:rPr>
          <w:rFonts w:ascii="仿宋" w:hAnsi="仿宋" w:eastAsia="仿宋" w:cs="仿宋"/>
          <w:spacing w:val="2"/>
          <w:sz w:val="25"/>
          <w:szCs w:val="25"/>
        </w:rPr>
        <w:t>是指除政府预算资金和财政专户管理资</w:t>
      </w:r>
      <w:r>
        <w:rPr>
          <w:rFonts w:ascii="仿宋" w:hAnsi="仿宋" w:eastAsia="仿宋" w:cs="仿宋"/>
          <w:spacing w:val="1"/>
          <w:sz w:val="25"/>
          <w:szCs w:val="25"/>
        </w:rPr>
        <w:t>金以外的资金，包括事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业收入、事业单位经营收入、上级补助收入、附属单位上缴收入、其他收入。</w:t>
      </w:r>
    </w:p>
    <w:p w14:paraId="6F63D0E0">
      <w:pPr>
        <w:spacing w:before="132" w:line="272" w:lineRule="auto"/>
        <w:ind w:left="1319" w:right="1537" w:firstLine="484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八、上年结转：</w:t>
      </w:r>
      <w:r>
        <w:rPr>
          <w:rFonts w:ascii="仿宋" w:hAnsi="仿宋" w:eastAsia="仿宋" w:cs="仿宋"/>
          <w:spacing w:val="2"/>
          <w:sz w:val="25"/>
          <w:szCs w:val="25"/>
        </w:rPr>
        <w:t>指以前年度预算安排、结转到本年仍</w:t>
      </w:r>
      <w:r>
        <w:rPr>
          <w:rFonts w:ascii="仿宋" w:hAnsi="仿宋" w:eastAsia="仿宋" w:cs="仿宋"/>
          <w:spacing w:val="1"/>
          <w:sz w:val="25"/>
          <w:szCs w:val="25"/>
        </w:rPr>
        <w:t>按原规定用途继续使用的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资金。</w:t>
      </w:r>
    </w:p>
    <w:p w14:paraId="2FDD871D">
      <w:pPr>
        <w:spacing w:before="126" w:line="270" w:lineRule="auto"/>
        <w:ind w:left="1308" w:right="1576" w:firstLine="501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九、一般公共预算</w:t>
      </w:r>
      <w:r>
        <w:rPr>
          <w:rFonts w:ascii="仿宋" w:hAnsi="仿宋" w:eastAsia="仿宋" w:cs="仿宋"/>
          <w:sz w:val="25"/>
          <w:szCs w:val="25"/>
        </w:rPr>
        <w:t>是指以税收为主体的财政收入，安排用于保障和改善民生、</w:t>
      </w:r>
      <w:r>
        <w:rPr>
          <w:rFonts w:ascii="仿宋" w:hAnsi="仿宋" w:eastAsia="仿宋" w:cs="仿宋"/>
          <w:spacing w:val="12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推动经济社会发展、维护国家安全、维持国家机构正常运转等方面的收支预算。</w:t>
      </w:r>
    </w:p>
    <w:p w14:paraId="7222456A">
      <w:pPr>
        <w:spacing w:before="134" w:line="271" w:lineRule="auto"/>
        <w:ind w:left="1311" w:right="1537" w:firstLine="495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2"/>
          <w:sz w:val="25"/>
          <w:szCs w:val="25"/>
        </w:rPr>
        <w:t>十、政府性基金预算：</w:t>
      </w:r>
      <w:r>
        <w:rPr>
          <w:rFonts w:ascii="仿宋" w:hAnsi="仿宋" w:eastAsia="仿宋" w:cs="仿宋"/>
          <w:spacing w:val="2"/>
          <w:sz w:val="25"/>
          <w:szCs w:val="25"/>
        </w:rPr>
        <w:t>是对依照法律、行政法</w:t>
      </w:r>
      <w:r>
        <w:rPr>
          <w:rFonts w:ascii="仿宋" w:hAnsi="仿宋" w:eastAsia="仿宋" w:cs="仿宋"/>
          <w:spacing w:val="1"/>
          <w:sz w:val="25"/>
          <w:szCs w:val="25"/>
        </w:rPr>
        <w:t>规的规定在一定期限内向特定对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象征收、收取或者以其他方式筹集的资金，专项用于特定公共事业发展的收支预</w:t>
      </w:r>
    </w:p>
    <w:p w14:paraId="2F735A20">
      <w:pPr>
        <w:spacing w:before="130" w:line="223" w:lineRule="auto"/>
        <w:ind w:left="13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9"/>
          <w:sz w:val="25"/>
          <w:szCs w:val="25"/>
        </w:rPr>
        <w:t>算。</w:t>
      </w:r>
    </w:p>
    <w:p w14:paraId="1DE0B70F">
      <w:pPr>
        <w:spacing w:before="130" w:line="222" w:lineRule="auto"/>
        <w:ind w:left="1807"/>
        <w:rPr>
          <w:rFonts w:ascii="仿宋" w:hAnsi="仿宋" w:eastAsia="仿宋" w:cs="仿宋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十一、国有资本经营预算</w:t>
      </w:r>
      <w:r>
        <w:rPr>
          <w:rFonts w:ascii="仿宋" w:hAnsi="仿宋" w:eastAsia="仿宋" w:cs="仿宋"/>
          <w:spacing w:val="1"/>
          <w:sz w:val="25"/>
          <w:szCs w:val="25"/>
        </w:rPr>
        <w:t>是对国有资本收益作出支出安排的收支预算。</w:t>
      </w:r>
    </w:p>
    <w:p w14:paraId="2948FEB0">
      <w:pPr>
        <w:spacing w:before="131" w:line="222" w:lineRule="auto"/>
        <w:ind w:left="1807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黑体" w:hAnsi="黑体" w:eastAsia="黑体" w:cs="黑体"/>
          <w:spacing w:val="1"/>
          <w:sz w:val="25"/>
          <w:szCs w:val="25"/>
        </w:rPr>
        <w:t>十二、财政拨款：</w:t>
      </w:r>
      <w:r>
        <w:rPr>
          <w:rFonts w:ascii="仿宋" w:hAnsi="仿宋" w:eastAsia="仿宋" w:cs="仿宋"/>
          <w:spacing w:val="1"/>
          <w:sz w:val="25"/>
          <w:szCs w:val="25"/>
        </w:rPr>
        <w:t>包含一般公共预算、政府性基金预算、国有资本经营预算。</w:t>
      </w:r>
    </w:p>
    <w:p w14:paraId="2A3FACAA">
      <w:pPr>
        <w:spacing w:before="131" w:line="222" w:lineRule="auto"/>
        <w:ind w:left="1807"/>
        <w:rPr>
          <w:rFonts w:ascii="仿宋" w:hAnsi="仿宋" w:eastAsia="仿宋" w:cs="仿宋"/>
          <w:spacing w:val="1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fldChar w:fldCharType="begin"/>
      </w:r>
      <w:r>
        <w:rPr>
          <w:rFonts w:ascii="仿宋" w:hAnsi="仿宋" w:eastAsia="仿宋" w:cs="仿宋"/>
          <w:spacing w:val="1"/>
          <w:sz w:val="25"/>
          <w:szCs w:val="25"/>
        </w:rPr>
        <w:instrText xml:space="preserve"> HYPERLINK "https://kdocs.cn/l/ciXlAfYVxYmr" </w:instrText>
      </w:r>
      <w:r>
        <w:rPr>
          <w:rFonts w:ascii="仿宋" w:hAnsi="仿宋" w:eastAsia="仿宋" w:cs="仿宋"/>
          <w:spacing w:val="1"/>
          <w:sz w:val="25"/>
          <w:szCs w:val="25"/>
        </w:rPr>
        <w:fldChar w:fldCharType="separate"/>
      </w:r>
      <w:r>
        <w:rPr>
          <w:rStyle w:val="6"/>
          <w:rFonts w:ascii="仿宋" w:hAnsi="仿宋" w:eastAsia="仿宋" w:cs="仿宋"/>
          <w:spacing w:val="1"/>
          <w:sz w:val="25"/>
          <w:szCs w:val="25"/>
        </w:rPr>
        <w:t>附件1：石楼县医疗集团灵泉镇卫生院西卫分院2024年部门经济分类调整预算表.xls</w:t>
      </w:r>
      <w:r>
        <w:rPr>
          <w:rFonts w:ascii="仿宋" w:hAnsi="仿宋" w:eastAsia="仿宋" w:cs="仿宋"/>
          <w:spacing w:val="1"/>
          <w:sz w:val="25"/>
          <w:szCs w:val="25"/>
        </w:rPr>
        <w:fldChar w:fldCharType="end"/>
      </w:r>
      <w:r>
        <w:rPr>
          <w:rFonts w:ascii="仿宋" w:hAnsi="仿宋" w:eastAsia="仿宋" w:cs="仿宋"/>
          <w:spacing w:val="1"/>
          <w:sz w:val="25"/>
          <w:szCs w:val="25"/>
        </w:rPr>
        <w:fldChar w:fldCharType="begin"/>
      </w:r>
      <w:r>
        <w:rPr>
          <w:rFonts w:ascii="仿宋" w:hAnsi="仿宋" w:eastAsia="仿宋" w:cs="仿宋"/>
          <w:spacing w:val="1"/>
          <w:sz w:val="25"/>
          <w:szCs w:val="25"/>
        </w:rPr>
        <w:instrText xml:space="preserve"> HYPERLINK "https://kdocs.cn/l/cnzRt1mNVAem" </w:instrText>
      </w:r>
      <w:r>
        <w:rPr>
          <w:rFonts w:ascii="仿宋" w:hAnsi="仿宋" w:eastAsia="仿宋" w:cs="仿宋"/>
          <w:spacing w:val="1"/>
          <w:sz w:val="25"/>
          <w:szCs w:val="25"/>
        </w:rPr>
        <w:fldChar w:fldCharType="separate"/>
      </w:r>
    </w:p>
    <w:p w14:paraId="07EBEBCD">
      <w:pPr>
        <w:spacing w:before="131" w:line="222" w:lineRule="auto"/>
        <w:ind w:left="1807"/>
        <w:rPr>
          <w:rFonts w:ascii="仿宋" w:hAnsi="仿宋" w:eastAsia="仿宋" w:cs="仿宋"/>
          <w:spacing w:val="1"/>
          <w:sz w:val="25"/>
          <w:szCs w:val="25"/>
        </w:rPr>
      </w:pPr>
      <w:r>
        <w:rPr>
          <w:rStyle w:val="6"/>
          <w:rFonts w:ascii="仿宋" w:hAnsi="仿宋" w:eastAsia="仿宋" w:cs="仿宋"/>
          <w:spacing w:val="1"/>
          <w:sz w:val="25"/>
          <w:szCs w:val="25"/>
        </w:rPr>
        <w:t>附件2：石楼县医疗集团灵泉镇卫生院西卫分院2024年政府经济分类调整预算表.xls</w:t>
      </w:r>
      <w:r>
        <w:rPr>
          <w:rFonts w:ascii="仿宋" w:hAnsi="仿宋" w:eastAsia="仿宋" w:cs="仿宋"/>
          <w:spacing w:val="1"/>
          <w:sz w:val="25"/>
          <w:szCs w:val="25"/>
        </w:rPr>
        <w:fldChar w:fldCharType="end"/>
      </w:r>
    </w:p>
    <w:sectPr>
      <w:headerReference r:id="rId19" w:type="default"/>
      <w:footerReference r:id="rId20" w:type="default"/>
      <w:pgSz w:w="11900" w:h="16840"/>
      <w:pgMar w:top="611" w:right="0" w:bottom="312" w:left="0" w:header="357" w:footer="134" w:gutter="0"/>
      <w:pgNumType w:fmt="numberInDash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88F553">
    <w:pPr>
      <w:pStyle w:val="3"/>
      <w:tabs>
        <w:tab w:val="center" w:pos="5950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EE6D8">
    <w:pPr>
      <w:pStyle w:val="3"/>
      <w:tabs>
        <w:tab w:val="center" w:pos="5950"/>
        <w:tab w:val="clear" w:pos="4153"/>
      </w:tabs>
    </w:pPr>
    <w:r>
      <w:rPr>
        <w:rFonts w:hint="eastAsia" w:eastAsia="宋体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E9A81">
    <w:pPr>
      <w:tabs>
        <w:tab w:val="center" w:pos="5950"/>
      </w:tabs>
      <w:spacing w:line="173" w:lineRule="auto"/>
      <w:rPr>
        <w:rFonts w:hint="default" w:ascii="华文宋体" w:hAnsi="华文宋体" w:eastAsia="华文宋体" w:cs="华文宋体"/>
        <w:sz w:val="16"/>
        <w:szCs w:val="16"/>
        <w:lang w:val="en-US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155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0" name="文本框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F824DC7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55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ApX4y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wMClfj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F824DC7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华文宋体" w:hAnsi="华文宋体" w:eastAsia="华文宋体" w:cs="华文宋体"/>
        <w:sz w:val="16"/>
        <w:szCs w:val="16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211230">
    <w:pPr>
      <w:tabs>
        <w:tab w:val="left" w:pos="6307"/>
      </w:tabs>
      <w:spacing w:line="172" w:lineRule="auto"/>
      <w:ind w:left="5886"/>
      <w:rPr>
        <w:rFonts w:hint="eastAsia" w:ascii="华文宋体" w:hAnsi="华文宋体" w:eastAsia="华文宋体" w:cs="华文宋体"/>
        <w:sz w:val="16"/>
        <w:szCs w:val="16"/>
        <w:lang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1660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1" name="文本框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386D37C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66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IJoMp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386D37C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26F3D">
    <w:pPr>
      <w:spacing w:line="172" w:lineRule="auto"/>
      <w:ind w:left="5886"/>
      <w:rPr>
        <w:rFonts w:hint="default" w:ascii="华文宋体" w:hAnsi="华文宋体" w:eastAsia="华文宋体" w:cs="华文宋体"/>
        <w:sz w:val="16"/>
        <w:szCs w:val="16"/>
        <w:lang w:val="en-US" w:eastAsia="zh-CN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176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2" name="文本框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6C6324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- 3 -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76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WW+3ozAgAAYwQAAA4AAABkcnMvZTJvRG9jLnhtbK1US44TMRDdI3EH&#10;y3vSSUa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1dTSgzTqPj5x/fz&#10;z9/nX98IziBQ7cIccQ8OkbF5Zxu0zXAecJh4N6XX6QtGBH7Ie7rIK5pIeLo0m85mY7g4fMMG+NnT&#10;dedDfC+sJsnIqUf9WlnZcRtiFzqEpGzGbqRSbQ2VIXVOr6/ejt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WW+3o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6C6324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- 3 -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85BA3">
    <w:pPr>
      <w:spacing w:line="172" w:lineRule="auto"/>
      <w:ind w:left="5886"/>
      <w:rPr>
        <w:rFonts w:ascii="华文宋体" w:hAnsi="华文宋体" w:eastAsia="华文宋体" w:cs="华文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186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3" name="文本框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AB331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- 5 -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86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c+bJUzAgAAYw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c+bJU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3AB331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- 5 -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432E26">
    <w:pPr>
      <w:spacing w:line="173" w:lineRule="auto"/>
      <w:ind w:left="5886"/>
      <w:rPr>
        <w:rFonts w:ascii="华文宋体" w:hAnsi="华文宋体" w:eastAsia="华文宋体" w:cs="华文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196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4" name="文本框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576EFA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- 6 -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196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EptGXY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5576EFA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- 6 -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BD340E">
    <w:pPr>
      <w:spacing w:line="172" w:lineRule="auto"/>
      <w:ind w:left="5886"/>
      <w:rPr>
        <w:rFonts w:ascii="华文宋体" w:hAnsi="华文宋体" w:eastAsia="华文宋体" w:cs="华文宋体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7207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5" name="文本框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3044E0B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- 7 -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7207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AjFjpk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3044E0B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- 7 -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752BDF">
    <w:pPr>
      <w:spacing w:line="14" w:lineRule="auto"/>
      <w:rPr>
        <w:rFonts w:ascii="Arial"/>
        <w:sz w:val="2"/>
      </w:rPr>
    </w:pPr>
    <w:r>
      <w:pict>
        <v:shape id="PowerPlusWaterMarkObject2" o:spid="_x0000_s2049" o:spt="136" type="#_x0000_t136" style="position:absolute;left:0pt;margin-left:-13.05pt;margin-top:288.1pt;height:18.85pt;width:119.4pt;mso-position-horizontal-relative:page;mso-position-vertical-relative:page;rotation:21626880f;z-index:-2516572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4" o:spid="_x0000_s2050" o:spt="136" type="#_x0000_t136" style="position:absolute;left:0pt;margin-left:391.9pt;margin-top:288.1pt;height:18.85pt;width:119.4pt;mso-position-horizontal-relative:page;mso-position-vertical-relative:page;rotation:21626880f;z-index:-2516561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6" o:spid="_x0000_s2051" o:spt="136" type="#_x0000_t136" style="position:absolute;left:0pt;margin-left:86.9pt;margin-top:44.1pt;height:18.85pt;width:119.4pt;mso-position-horizontal-relative:page;mso-position-vertical-relative:page;rotation:21626880f;z-index:-2516551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8" o:spid="_x0000_s2052" o:spt="136" type="#_x0000_t136" style="position:absolute;left:0pt;margin-left:491.9pt;margin-top:44.1pt;height:18.85pt;width:119.4pt;mso-position-horizontal-relative:page;mso-position-vertical-relative:page;rotation:21626880f;z-index:-2516541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0" o:spid="_x0000_s2053" o:spt="136" type="#_x0000_t136" style="position:absolute;left:0pt;margin-left:-13.05pt;margin-top:776.1pt;height:18.85pt;width:119.4pt;mso-position-horizontal-relative:page;mso-position-vertical-relative:page;rotation:21626880f;z-index:-2516531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2" o:spid="_x0000_s2054" o:spt="136" type="#_x0000_t136" style="position:absolute;left:0pt;margin-left:391.9pt;margin-top:776.1pt;height:18.85pt;width:119.4pt;mso-position-horizontal-relative:page;mso-position-vertical-relative:page;rotation:21626880f;z-index:-2516520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4" o:spid="_x0000_s2055" o:spt="136" type="#_x0000_t136" style="position:absolute;left:0pt;margin-left:86.9pt;margin-top:532.1pt;height:18.85pt;width:119.4pt;mso-position-horizontal-relative:page;mso-position-vertical-relative:page;rotation:21626880f;z-index:-2516510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6" o:spid="_x0000_s2056" o:spt="136" type="#_x0000_t136" style="position:absolute;left:0pt;margin-left:491.9pt;margin-top:532.1pt;height:18.85pt;width:119.4pt;mso-position-horizontal-relative:page;mso-position-vertical-relative:page;rotation:21626880f;z-index:-2516500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227C9">
    <w:pPr>
      <w:spacing w:line="14" w:lineRule="auto"/>
      <w:rPr>
        <w:rFonts w:ascii="Arial"/>
        <w:sz w:val="2"/>
      </w:rPr>
    </w:pPr>
    <w:r>
      <w:pict>
        <v:shape id="PowerPlusWaterMarkObject18" o:spid="_x0000_s2057" o:spt="136" type="#_x0000_t136" style="position:absolute;left:0pt;margin-left:-13.05pt;margin-top:288.1pt;height:18.85pt;width:119.4pt;mso-position-horizontal-relative:page;mso-position-vertical-relative:page;rotation:21626880f;z-index:-2516490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0" o:spid="_x0000_s2058" o:spt="136" type="#_x0000_t136" style="position:absolute;left:0pt;margin-left:86.9pt;margin-top:532.1pt;height:18.85pt;width:119.4pt;mso-position-horizontal-relative:page;mso-position-vertical-relative:page;rotation:21626880f;z-index:-2516480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2" o:spid="_x0000_s2059" o:spt="136" type="#_x0000_t136" style="position:absolute;left:0pt;margin-left:-13.05pt;margin-top:776.1pt;height:18.85pt;width:119.4pt;mso-position-horizontal-relative:page;mso-position-vertical-relative:page;rotation:21626880f;z-index:-2516469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4" o:spid="_x0000_s2060" o:spt="136" type="#_x0000_t136" style="position:absolute;left:0pt;margin-left:491.9pt;margin-top:532.1pt;height:18.85pt;width:119.4pt;mso-position-horizontal-relative:page;mso-position-vertical-relative:page;rotation:21626880f;z-index:-2516459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6" o:spid="_x0000_s2061" o:spt="136" type="#_x0000_t136" style="position:absolute;left:0pt;margin-left:86.9pt;margin-top:44.1pt;height:18.85pt;width:119.4pt;mso-position-horizontal-relative:page;mso-position-vertical-relative:page;rotation:21626880f;z-index:-2516449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8" o:spid="_x0000_s2062" o:spt="136" type="#_x0000_t136" style="position:absolute;left:0pt;margin-left:491.9pt;margin-top:44.1pt;height:18.85pt;width:119.4pt;mso-position-horizontal-relative:page;mso-position-vertical-relative:page;rotation:21626880f;z-index:-2516439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30" o:spid="_x0000_s2063" o:spt="136" type="#_x0000_t136" style="position:absolute;left:0pt;margin-left:391.9pt;margin-top:776.1pt;height:18.85pt;width:119.4pt;mso-position-horizontal-relative:page;mso-position-vertical-relative:page;rotation:21626880f;z-index:-2516428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32" o:spid="_x0000_s2064" o:spt="136" type="#_x0000_t136" style="position:absolute;left:0pt;margin-left:391.9pt;margin-top:288.1pt;height:18.85pt;width:119.4pt;mso-position-horizontal-relative:page;mso-position-vertical-relative:page;rotation:21626880f;z-index:-2516418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FCF72E3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pict>
        <v:shape id="PowerPlusWaterMarkObject50" o:spid="_x0000_s2073" o:spt="136" type="#_x0000_t136" style="position:absolute;left:0pt;margin-left:86.9pt;margin-top:26.2pt;height:18.85pt;width:119.4pt;rotation:21626880f;z-index:-2516305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52" o:spid="_x0000_s2074" o:spt="136" type="#_x0000_t136" style="position:absolute;left:0pt;margin-left:-13.05pt;margin-top:288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54" o:spid="_x0000_s2075" o:spt="136" type="#_x0000_t136" style="position:absolute;left:0pt;margin-left:491.9pt;margin-top:44.1pt;height:18.85pt;width:119.4pt;mso-position-horizontal-relative:page;mso-position-vertical-relative:page;rotation:21626880f;z-index:-251631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56" o:spid="_x0000_s2076" o:spt="136" type="#_x0000_t136" style="position:absolute;left:0pt;margin-left:391.9pt;margin-top:288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58" o:spid="_x0000_s2077" o:spt="136" type="#_x0000_t136" style="position:absolute;left:0pt;margin-left:86.9pt;margin-top:532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60" o:spid="_x0000_s2078" o:spt="136" type="#_x0000_t136" style="position:absolute;left:0pt;margin-left:-13.05pt;margin-top:776.1pt;height:18.85pt;width:119.4pt;mso-position-horizontal-relative:page;mso-position-vertical-relative:page;rotation:21626880f;z-index:-2516346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62" o:spid="_x0000_s2079" o:spt="136" type="#_x0000_t136" style="position:absolute;left:0pt;margin-left:491.9pt;margin-top:532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64" o:spid="_x0000_s2080" o:spt="136" type="#_x0000_t136" style="position:absolute;left:0pt;margin-left:391.9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081" o:spid="_x0000_s2081" style="position:absolute;left:0pt;margin-left:30pt;margin-top:29.5pt;height:1pt;width:535pt;mso-position-horizontal-relative:page;mso-position-vertical-relative:page;z-index:-2516326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ascii="华文宋体" w:hAnsi="华文宋体" w:eastAsia="华文宋体" w:cs="华文宋体"/>
        <w:sz w:val="16"/>
        <w:szCs w:val="16"/>
      </w:rPr>
      <w:t>镇卫生院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西卫</w:t>
    </w:r>
    <w:r>
      <w:rPr>
        <w:rFonts w:ascii="华文宋体" w:hAnsi="华文宋体" w:eastAsia="华文宋体" w:cs="华文宋体"/>
        <w:sz w:val="16"/>
        <w:szCs w:val="16"/>
      </w:rPr>
      <w:t>分院2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D223ED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pict>
        <v:shape id="PowerPlusWaterMarkObject86" o:spid="_x0000_s2091" o:spt="136" type="#_x0000_t136" style="position:absolute;left:0pt;margin-left:86.9pt;margin-top:26.2pt;height:18.85pt;width:119.4pt;rotation:21626880f;z-index:-2516213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88" o:spid="_x0000_s2092" o:spt="136" type="#_x0000_t136" style="position:absolute;left:0pt;margin-left:-13.05pt;margin-top:288.1pt;height:18.85pt;width:119.4pt;mso-position-horizontal-relative:page;mso-position-vertical-relative:page;rotation:21626880f;z-index:-251624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0" o:spid="_x0000_s2093" o:spt="136" type="#_x0000_t136" style="position:absolute;left:0pt;margin-left:491.9pt;margin-top:44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2" o:spid="_x0000_s2094" o:spt="136" type="#_x0000_t136" style="position:absolute;left:0pt;margin-left:391.9pt;margin-top:288.1pt;height:18.85pt;width:119.4pt;mso-position-horizontal-relative:page;mso-position-vertical-relative:page;rotation:21626880f;z-index:-251625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4" o:spid="_x0000_s2095" o:spt="136" type="#_x0000_t136" style="position:absolute;left:0pt;margin-left:86.9pt;margin-top:532.1pt;height:18.85pt;width:119.4pt;mso-position-horizontal-relative:page;mso-position-vertical-relative:page;rotation:21626880f;z-index:-2516285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6" o:spid="_x0000_s2096" o:spt="136" type="#_x0000_t136" style="position:absolute;left:0pt;margin-left:-13.05pt;margin-top:776.1pt;height:18.85pt;width:119.4pt;mso-position-horizontal-relative:page;mso-position-vertical-relative:page;rotation:21626880f;z-index:-2516264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98" o:spid="_x0000_s2097" o:spt="136" type="#_x0000_t136" style="position:absolute;left:0pt;margin-left:491.9pt;margin-top:532.1pt;height:18.85pt;width:119.4pt;mso-position-horizontal-relative:page;mso-position-vertical-relative:page;rotation:21626880f;z-index:-251629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100" o:spid="_x0000_s2098" o:spt="136" type="#_x0000_t136" style="position:absolute;left:0pt;margin-left:391.9pt;margin-top:776.1pt;height:18.85pt;width:119.4pt;mso-position-horizontal-relative:page;mso-position-vertical-relative:page;rotation:21626880f;z-index:-251627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099" o:spid="_x0000_s2099" style="position:absolute;left:0pt;margin-left:30pt;margin-top:29.5pt;height:1pt;width:535pt;mso-position-horizontal-relative:page;mso-position-vertical-relative:page;z-index:-2516234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ascii="华文宋体" w:hAnsi="华文宋体" w:eastAsia="华文宋体" w:cs="华文宋体"/>
        <w:sz w:val="16"/>
        <w:szCs w:val="16"/>
      </w:rPr>
      <w:t>镇卫生院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西卫</w:t>
    </w:r>
    <w:r>
      <w:rPr>
        <w:rFonts w:ascii="华文宋体" w:hAnsi="华文宋体" w:eastAsia="华文宋体" w:cs="华文宋体"/>
        <w:sz w:val="16"/>
        <w:szCs w:val="16"/>
      </w:rPr>
      <w:t>分院2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56530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pict>
        <v:shape id="_x0000_s2159" o:spid="_x0000_s2159" o:spt="136" type="#_x0000_t136" style="position:absolute;left:0pt;margin-left:86.9pt;margin-top:26.2pt;height:18.85pt;width:119.4pt;rotation:21626880f;z-index:-2516213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0" o:spid="_x0000_s2160" o:spt="136" type="#_x0000_t136" style="position:absolute;left:0pt;margin-left:-13.05pt;margin-top:288.1pt;height:18.85pt;width:119.4pt;mso-position-horizontal-relative:page;mso-position-vertical-relative:page;rotation:21626880f;z-index:-251624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1" o:spid="_x0000_s2161" o:spt="136" type="#_x0000_t136" style="position:absolute;left:0pt;margin-left:491.9pt;margin-top:44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2" o:spid="_x0000_s2162" o:spt="136" type="#_x0000_t136" style="position:absolute;left:0pt;margin-left:391.9pt;margin-top:288.1pt;height:18.85pt;width:119.4pt;mso-position-horizontal-relative:page;mso-position-vertical-relative:page;rotation:21626880f;z-index:-2516254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3" o:spid="_x0000_s2163" o:spt="136" type="#_x0000_t136" style="position:absolute;left:0pt;margin-left:86.9pt;margin-top:532.1pt;height:18.85pt;width:119.4pt;mso-position-horizontal-relative:page;mso-position-vertical-relative:page;rotation:21626880f;z-index:-2516285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4" o:spid="_x0000_s2164" o:spt="136" type="#_x0000_t136" style="position:absolute;left:0pt;margin-left:-13.05pt;margin-top:776.1pt;height:18.85pt;width:119.4pt;mso-position-horizontal-relative:page;mso-position-vertical-relative:page;rotation:21626880f;z-index:-2516264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5" o:spid="_x0000_s2165" o:spt="136" type="#_x0000_t136" style="position:absolute;left:0pt;margin-left:491.9pt;margin-top:532.1pt;height:18.85pt;width:119.4pt;mso-position-horizontal-relative:page;mso-position-vertical-relative:page;rotation:21626880f;z-index:-251629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6" o:spid="_x0000_s2166" o:spt="136" type="#_x0000_t136" style="position:absolute;left:0pt;margin-left:391.9pt;margin-top:776.1pt;height:18.85pt;width:119.4pt;mso-position-horizontal-relative:page;mso-position-vertical-relative:page;rotation:21626880f;z-index:-251627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67" o:spid="_x0000_s2167" style="position:absolute;left:0pt;margin-left:30pt;margin-top:29.5pt;height:1pt;width:535pt;mso-position-horizontal-relative:page;mso-position-vertical-relative:page;z-index:-2516234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ascii="华文宋体" w:hAnsi="华文宋体" w:eastAsia="华文宋体" w:cs="华文宋体"/>
        <w:sz w:val="16"/>
        <w:szCs w:val="16"/>
      </w:rPr>
      <w:t>镇卫生院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西卫</w:t>
    </w:r>
    <w:r>
      <w:rPr>
        <w:rFonts w:ascii="华文宋体" w:hAnsi="华文宋体" w:eastAsia="华文宋体" w:cs="华文宋体"/>
        <w:sz w:val="16"/>
        <w:szCs w:val="16"/>
      </w:rPr>
      <w:t>分院2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E7EA71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pict>
        <v:shape id="PowerPlusWaterMarkObject228" o:spid="_x0000_s2168" o:spt="136" type="#_x0000_t136" style="position:absolute;left:0pt;margin-left:86.9pt;margin-top:26.2pt;height:18.85pt;width:119.4pt;rotation:21626880f;z-index:-25161728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30" o:spid="_x0000_s2169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32" o:spid="_x0000_s217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71" o:spid="_x0000_s2171" style="position:absolute;left:0pt;margin-left:30pt;margin-top:29.5pt;height:1pt;width:535pt;mso-position-horizontal-relative:page;mso-position-vertical-relative:page;z-index:-25161830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ascii="华文宋体" w:hAnsi="华文宋体" w:eastAsia="华文宋体" w:cs="华文宋体"/>
        <w:sz w:val="16"/>
        <w:szCs w:val="16"/>
      </w:rPr>
      <w:t>镇卫生院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西卫</w:t>
    </w:r>
    <w:r>
      <w:rPr>
        <w:rFonts w:ascii="华文宋体" w:hAnsi="华文宋体" w:eastAsia="华文宋体" w:cs="华文宋体"/>
        <w:sz w:val="16"/>
        <w:szCs w:val="16"/>
      </w:rPr>
      <w:t>分院2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2ADA05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pict>
        <v:shape id="PowerPlusWaterMarkObject246" o:spid="_x0000_s2172" o:spt="136" type="#_x0000_t136" style="position:absolute;left:0pt;margin-left:86.9pt;margin-top:26.2pt;height:18.85pt;width:119.4pt;rotation:21626880f;z-index:-25161113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48" o:spid="_x0000_s2173" o:spt="136" type="#_x0000_t136" style="position:absolute;left:0pt;margin-left:491.9pt;margin-top:44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50" o:spid="_x0000_s2174" o:spt="136" type="#_x0000_t136" style="position:absolute;left:0pt;margin-left:-13.05pt;margin-top:776.1pt;height:18.85pt;width:119.4pt;mso-position-horizontal-relative:page;mso-position-vertical-relative:page;rotation:21626880f;z-index:-2516142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52" o:spid="_x0000_s2175" o:spt="136" type="#_x0000_t136" style="position:absolute;left:0pt;margin-left:491.9pt;margin-top:532.1pt;height:18.85pt;width:119.4pt;mso-position-horizontal-relative:page;mso-position-vertical-relative:page;rotation:21626880f;z-index:-2516162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54" o:spid="_x0000_s2176" o:spt="136" type="#_x0000_t136" style="position:absolute;left:0pt;margin-left:391.9pt;margin-top:776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77" o:spid="_x0000_s2177" style="position:absolute;left:0pt;margin-left:30pt;margin-top:29.5pt;height:1pt;width:535pt;mso-position-horizontal-relative:page;mso-position-vertical-relative:page;z-index:-25161318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ascii="华文宋体" w:hAnsi="华文宋体" w:eastAsia="华文宋体" w:cs="华文宋体"/>
        <w:sz w:val="16"/>
        <w:szCs w:val="16"/>
      </w:rPr>
      <w:t>镇卫生院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西卫</w:t>
    </w:r>
    <w:r>
      <w:rPr>
        <w:rFonts w:ascii="华文宋体" w:hAnsi="华文宋体" w:eastAsia="华文宋体" w:cs="华文宋体"/>
        <w:sz w:val="16"/>
        <w:szCs w:val="16"/>
      </w:rPr>
      <w:t>分院2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5A9576">
    <w:pPr>
      <w:spacing w:before="1" w:line="227" w:lineRule="auto"/>
      <w:ind w:left="646"/>
      <w:rPr>
        <w:rFonts w:ascii="华文宋体" w:hAnsi="华文宋体" w:eastAsia="华文宋体" w:cs="华文宋体"/>
        <w:sz w:val="16"/>
        <w:szCs w:val="16"/>
      </w:rPr>
    </w:pPr>
    <w:r>
      <w:pict>
        <v:shape id="PowerPlusWaterMarkObject264" o:spid="_x0000_s2178" o:spt="136" type="#_x0000_t136" style="position:absolute;left:0pt;margin-left:86.9pt;margin-top:26.2pt;height:18.85pt;width:119.4pt;rotation:21626880f;z-index:-25160192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66" o:spid="_x0000_s2179" o:spt="136" type="#_x0000_t136" style="position:absolute;left:0pt;margin-left:-13.05pt;margin-top:288.1pt;height:18.85pt;width:119.4pt;mso-position-horizontal-relative:page;mso-position-vertical-relative:page;rotation:21626880f;z-index:-251610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68" o:spid="_x0000_s2180" o:spt="136" type="#_x0000_t136" style="position:absolute;left:0pt;margin-left:491.9pt;margin-top:44.1pt;height:18.85pt;width:119.4pt;mso-position-horizontal-relative:page;mso-position-vertical-relative:page;rotation:21626880f;z-index:-2516029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70" o:spid="_x0000_s2181" o:spt="136" type="#_x0000_t136" style="position:absolute;left:0pt;margin-left:391.9pt;margin-top:288.1pt;height:18.85pt;width:119.4pt;mso-position-horizontal-relative:page;mso-position-vertical-relative:page;rotation:21626880f;z-index:-2516090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72" o:spid="_x0000_s2182" o:spt="136" type="#_x0000_t136" style="position:absolute;left:0pt;margin-left:86.9pt;margin-top:532.1pt;height:18.85pt;width:119.4pt;mso-position-horizontal-relative:page;mso-position-vertical-relative:page;rotation:21626880f;z-index:-2516080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74" o:spid="_x0000_s2183" o:spt="136" type="#_x0000_t136" style="position:absolute;left:0pt;margin-left:-13.05pt;margin-top:776.1pt;height:18.85pt;width:119.4pt;mso-position-horizontal-relative:page;mso-position-vertical-relative:page;rotation:21626880f;z-index:-2516049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76" o:spid="_x0000_s2184" o:spt="136" type="#_x0000_t136" style="position:absolute;left:0pt;margin-left:491.9pt;margin-top:532.1pt;height:18.85pt;width:119.4pt;mso-position-horizontal-relative:page;mso-position-vertical-relative:page;rotation:21626880f;z-index:-2516070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PowerPlusWaterMarkObject278" o:spid="_x0000_s2185" o:spt="136" type="#_x0000_t136" style="position:absolute;left:0pt;margin-left:391.9pt;margin-top:776.1pt;height:18.85pt;width:119.4pt;mso-position-horizontal-relative:page;mso-position-vertical-relative:page;rotation:21626880f;z-index:-2516060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shape="t" fitpath="t" trim="t" xscale="f" string="仅供内部审核" style="font-family:STSong;font-size:8pt;v-text-align:center;"/>
        </v:shape>
      </w:pict>
    </w:r>
    <w:r>
      <w:pict>
        <v:shape id="_x0000_s2186" o:spid="_x0000_s2186" style="position:absolute;left:0pt;margin-left:30pt;margin-top:29.5pt;height:1pt;width:535pt;mso-position-horizontal-relative:page;mso-position-vertical-relative:page;z-index:-25160396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华文宋体" w:hAnsi="华文宋体" w:eastAsia="华文宋体" w:cs="华文宋体"/>
        <w:sz w:val="16"/>
        <w:szCs w:val="16"/>
      </w:rPr>
      <w:t>石楼县医疗集团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灵泉</w:t>
    </w:r>
    <w:r>
      <w:rPr>
        <w:rFonts w:ascii="华文宋体" w:hAnsi="华文宋体" w:eastAsia="华文宋体" w:cs="华文宋体"/>
        <w:sz w:val="16"/>
        <w:szCs w:val="16"/>
      </w:rPr>
      <w:t>镇卫生院</w:t>
    </w:r>
    <w:r>
      <w:rPr>
        <w:rFonts w:hint="eastAsia" w:ascii="华文宋体" w:hAnsi="华文宋体" w:eastAsia="华文宋体" w:cs="华文宋体"/>
        <w:sz w:val="16"/>
        <w:szCs w:val="16"/>
        <w:lang w:val="en-US" w:eastAsia="zh-CN"/>
      </w:rPr>
      <w:t>西卫</w:t>
    </w:r>
    <w:r>
      <w:rPr>
        <w:rFonts w:ascii="华文宋体" w:hAnsi="华文宋体" w:eastAsia="华文宋体" w:cs="华文宋体"/>
        <w:sz w:val="16"/>
        <w:szCs w:val="16"/>
      </w:rPr>
      <w:t>分院2</w:t>
    </w:r>
    <w:r>
      <w:rPr>
        <w:rFonts w:ascii="华文宋体" w:hAnsi="华文宋体" w:eastAsia="华文宋体" w:cs="华文宋体"/>
        <w:spacing w:val="-1"/>
        <w:sz w:val="16"/>
        <w:szCs w:val="16"/>
      </w:rPr>
      <w:t>024年单位</w:t>
    </w:r>
    <w:r>
      <w:rPr>
        <w:rFonts w:hint="eastAsia" w:ascii="华文宋体" w:hAnsi="华文宋体" w:eastAsia="华文宋体" w:cs="华文宋体"/>
        <w:spacing w:val="-1"/>
        <w:sz w:val="16"/>
        <w:szCs w:val="16"/>
        <w:lang w:eastAsia="zh-CN"/>
      </w:rPr>
      <w:t>调整</w:t>
    </w:r>
    <w:r>
      <w:rPr>
        <w:rFonts w:ascii="华文宋体" w:hAnsi="华文宋体" w:eastAsia="华文宋体" w:cs="华文宋体"/>
        <w:spacing w:val="-1"/>
        <w:sz w:val="16"/>
        <w:szCs w:val="16"/>
      </w:rPr>
      <w:t>预算公开报告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DA7721"/>
    <w:rsid w:val="04BF763A"/>
    <w:rsid w:val="065E2E82"/>
    <w:rsid w:val="07117783"/>
    <w:rsid w:val="08061AE6"/>
    <w:rsid w:val="09747B8D"/>
    <w:rsid w:val="0A2F434F"/>
    <w:rsid w:val="0E0802A4"/>
    <w:rsid w:val="117E4DE7"/>
    <w:rsid w:val="12AC208B"/>
    <w:rsid w:val="12BC78AF"/>
    <w:rsid w:val="12D60970"/>
    <w:rsid w:val="13AA55D0"/>
    <w:rsid w:val="172577D0"/>
    <w:rsid w:val="192D0BBE"/>
    <w:rsid w:val="1A646862"/>
    <w:rsid w:val="1ADA2FC8"/>
    <w:rsid w:val="1C2564C4"/>
    <w:rsid w:val="1C2A5889"/>
    <w:rsid w:val="1E4B60EC"/>
    <w:rsid w:val="1ED0096A"/>
    <w:rsid w:val="1F863581"/>
    <w:rsid w:val="208E288A"/>
    <w:rsid w:val="20D504B9"/>
    <w:rsid w:val="217C26E3"/>
    <w:rsid w:val="21CB71C6"/>
    <w:rsid w:val="233E57D5"/>
    <w:rsid w:val="246B4C91"/>
    <w:rsid w:val="255E395B"/>
    <w:rsid w:val="26D11723"/>
    <w:rsid w:val="27BF77CD"/>
    <w:rsid w:val="27D8088F"/>
    <w:rsid w:val="286640ED"/>
    <w:rsid w:val="28E9787B"/>
    <w:rsid w:val="2B42499D"/>
    <w:rsid w:val="2BB478B0"/>
    <w:rsid w:val="2C8B2374"/>
    <w:rsid w:val="2CD31625"/>
    <w:rsid w:val="2D0B7011"/>
    <w:rsid w:val="2DF14458"/>
    <w:rsid w:val="2E954DE4"/>
    <w:rsid w:val="2EEE402B"/>
    <w:rsid w:val="2F0A3A24"/>
    <w:rsid w:val="2F4405B8"/>
    <w:rsid w:val="30136C66"/>
    <w:rsid w:val="30A25EDE"/>
    <w:rsid w:val="31B163D9"/>
    <w:rsid w:val="3223097F"/>
    <w:rsid w:val="32333292"/>
    <w:rsid w:val="32543208"/>
    <w:rsid w:val="336E3E55"/>
    <w:rsid w:val="36BB5A02"/>
    <w:rsid w:val="37C130EE"/>
    <w:rsid w:val="37DB6BC3"/>
    <w:rsid w:val="37F25055"/>
    <w:rsid w:val="3B673FAC"/>
    <w:rsid w:val="3C4F5130"/>
    <w:rsid w:val="3D670293"/>
    <w:rsid w:val="3D8A4ACB"/>
    <w:rsid w:val="3F5C7DD5"/>
    <w:rsid w:val="3F722BB4"/>
    <w:rsid w:val="430D368B"/>
    <w:rsid w:val="43792ACE"/>
    <w:rsid w:val="43B43B06"/>
    <w:rsid w:val="44FA19ED"/>
    <w:rsid w:val="4504286C"/>
    <w:rsid w:val="45AB2CE7"/>
    <w:rsid w:val="469C0596"/>
    <w:rsid w:val="469D4D26"/>
    <w:rsid w:val="46BF6A4A"/>
    <w:rsid w:val="49831FB1"/>
    <w:rsid w:val="4BFE1DC3"/>
    <w:rsid w:val="4CA010CC"/>
    <w:rsid w:val="4D700A9E"/>
    <w:rsid w:val="4E6F6FA8"/>
    <w:rsid w:val="4E880069"/>
    <w:rsid w:val="4FB000C2"/>
    <w:rsid w:val="50125E3D"/>
    <w:rsid w:val="517B2107"/>
    <w:rsid w:val="51844B18"/>
    <w:rsid w:val="51A27CCF"/>
    <w:rsid w:val="51CE232D"/>
    <w:rsid w:val="5212481A"/>
    <w:rsid w:val="52D45427"/>
    <w:rsid w:val="536E05FA"/>
    <w:rsid w:val="54680721"/>
    <w:rsid w:val="55264138"/>
    <w:rsid w:val="573E1C0D"/>
    <w:rsid w:val="592F3F03"/>
    <w:rsid w:val="593C489A"/>
    <w:rsid w:val="59FD7B5D"/>
    <w:rsid w:val="5A700DA8"/>
    <w:rsid w:val="5B0171D9"/>
    <w:rsid w:val="5C445095"/>
    <w:rsid w:val="5D5D612D"/>
    <w:rsid w:val="5E2356B9"/>
    <w:rsid w:val="5E3653EC"/>
    <w:rsid w:val="5ECC5D50"/>
    <w:rsid w:val="5F3C2ED6"/>
    <w:rsid w:val="65314B5F"/>
    <w:rsid w:val="656A1E1F"/>
    <w:rsid w:val="65C23A09"/>
    <w:rsid w:val="667165ED"/>
    <w:rsid w:val="674768BC"/>
    <w:rsid w:val="69401815"/>
    <w:rsid w:val="69DA41ED"/>
    <w:rsid w:val="6B1D7336"/>
    <w:rsid w:val="6CC83FFB"/>
    <w:rsid w:val="6CCD1611"/>
    <w:rsid w:val="6CF53513"/>
    <w:rsid w:val="6FA01E2A"/>
    <w:rsid w:val="6FA32AFD"/>
    <w:rsid w:val="6FF173C5"/>
    <w:rsid w:val="70587444"/>
    <w:rsid w:val="707A385E"/>
    <w:rsid w:val="71BB412E"/>
    <w:rsid w:val="725A3947"/>
    <w:rsid w:val="737722D7"/>
    <w:rsid w:val="74724A66"/>
    <w:rsid w:val="74D43DB3"/>
    <w:rsid w:val="74F636CF"/>
    <w:rsid w:val="763C15B6"/>
    <w:rsid w:val="76D90BB3"/>
    <w:rsid w:val="792E5BC3"/>
    <w:rsid w:val="7A1E16FE"/>
    <w:rsid w:val="7AF20495"/>
    <w:rsid w:val="7C0E797E"/>
    <w:rsid w:val="7CD267D0"/>
    <w:rsid w:val="7DEB18F7"/>
    <w:rsid w:val="7F7C3632"/>
    <w:rsid w:val="7F8D69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华文中宋" w:hAnsi="华文中宋" w:eastAsia="华文中宋" w:cs="华文中宋"/>
      <w:sz w:val="34"/>
      <w:szCs w:val="34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4" Type="http://schemas.openxmlformats.org/officeDocument/2006/relationships/fontTable" Target="fontTable.xml"/><Relationship Id="rId23" Type="http://schemas.openxmlformats.org/officeDocument/2006/relationships/customXml" Target="../customXml/item1.xml"/><Relationship Id="rId22" Type="http://schemas.openxmlformats.org/officeDocument/2006/relationships/image" Target="media/image1.jpeg"/><Relationship Id="rId21" Type="http://schemas.openxmlformats.org/officeDocument/2006/relationships/theme" Target="theme/theme1.xml"/><Relationship Id="rId20" Type="http://schemas.openxmlformats.org/officeDocument/2006/relationships/footer" Target="footer8.xml"/><Relationship Id="rId2" Type="http://schemas.openxmlformats.org/officeDocument/2006/relationships/settings" Target="settings.xml"/><Relationship Id="rId19" Type="http://schemas.openxmlformats.org/officeDocument/2006/relationships/header" Target="header8.xml"/><Relationship Id="rId18" Type="http://schemas.openxmlformats.org/officeDocument/2006/relationships/footer" Target="footer7.xml"/><Relationship Id="rId17" Type="http://schemas.openxmlformats.org/officeDocument/2006/relationships/header" Target="header7.xml"/><Relationship Id="rId16" Type="http://schemas.openxmlformats.org/officeDocument/2006/relationships/footer" Target="footer6.xml"/><Relationship Id="rId15" Type="http://schemas.openxmlformats.org/officeDocument/2006/relationships/header" Target="header6.xml"/><Relationship Id="rId14" Type="http://schemas.openxmlformats.org/officeDocument/2006/relationships/footer" Target="footer5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header" Target="head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1026" textRotate="1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9</Pages>
  <Words>33</Words>
  <Characters>33</Characters>
  <TotalTime>1</TotalTime>
  <ScaleCrop>false</ScaleCrop>
  <LinksUpToDate>false</LinksUpToDate>
  <CharactersWithSpaces>64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2024-05-23T21:13:00Z</dcterms:created>
  <dc:creator>adminb</dc:creator>
  <cp:lastModifiedBy>8236966998</cp:lastModifiedBy>
  <dcterms:modified xsi:type="dcterms:W3CDTF">2024-12-31T02:33:02Z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2024-12-29T21:32:06Z</vt:filetime>
  </property>
  <property fmtid="{D5CDD505-2E9C-101B-9397-08002B2CF9AE}" pid="4" name="KSOTemplateDocerSaveRecord">
    <vt:lpwstr>eyJoZGlkIjoiMzFhYWViYTFjYjUwN2E3OWIzMGZjNzIxN2Y1YzUxZDciLCJ1c2VySWQiOiIxNjcwNTA3NTE2In0=</vt:lpwstr>
  </property>
  <property fmtid="{D5CDD505-2E9C-101B-9397-08002B2CF9AE}" pid="5" name="KSOProductBuildVer">
    <vt:lpwstr>2052-12.1.0.19770</vt:lpwstr>
  </property>
  <property fmtid="{D5CDD505-2E9C-101B-9397-08002B2CF9AE}" pid="6" name="ICV">
    <vt:lpwstr>B8088E170A3042D89823565D45B97690_13</vt:lpwstr>
  </property>
</Properties>
</file>